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6F267A" w:rsidRDefault="006311DA" w:rsidP="00627C9F">
      <w:pPr>
        <w:jc w:val="both"/>
        <w:rPr>
          <w:rFonts w:asciiTheme="majorHAnsi" w:hAnsiTheme="majorHAnsi" w:cs="Univers"/>
          <w:b/>
          <w:bCs/>
          <w:sz w:val="22"/>
          <w:szCs w:val="22"/>
        </w:rPr>
      </w:pPr>
      <w:r w:rsidRPr="006F267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2B8AE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6F267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1D86" w:rsidRDefault="00141D86">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141D86" w:rsidRDefault="00141D86">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6F267A" w:rsidRDefault="00040C3A" w:rsidP="00040C3A">
      <w:pPr>
        <w:tabs>
          <w:tab w:val="center" w:pos="5400"/>
        </w:tabs>
        <w:suppressAutoHyphens/>
        <w:jc w:val="both"/>
        <w:rPr>
          <w:rFonts w:asciiTheme="majorHAnsi" w:hAnsiTheme="majorHAnsi"/>
          <w:sz w:val="22"/>
          <w:szCs w:val="22"/>
        </w:rPr>
      </w:pPr>
    </w:p>
    <w:p w:rsidR="00040C3A" w:rsidRPr="006F267A" w:rsidRDefault="00040C3A" w:rsidP="00040C3A">
      <w:pPr>
        <w:tabs>
          <w:tab w:val="center" w:pos="5400"/>
        </w:tabs>
        <w:suppressAutoHyphens/>
        <w:jc w:val="both"/>
        <w:rPr>
          <w:rFonts w:asciiTheme="majorHAnsi" w:hAnsiTheme="majorHAnsi"/>
          <w:sz w:val="22"/>
          <w:szCs w:val="22"/>
        </w:rPr>
      </w:pPr>
    </w:p>
    <w:p w:rsidR="005128E4" w:rsidRPr="006F267A" w:rsidRDefault="005128E4" w:rsidP="00040C3A">
      <w:pPr>
        <w:tabs>
          <w:tab w:val="center" w:pos="5400"/>
        </w:tabs>
        <w:suppressAutoHyphens/>
        <w:rPr>
          <w:rFonts w:asciiTheme="majorHAnsi" w:hAnsiTheme="majorHAnsi"/>
          <w:sz w:val="22"/>
          <w:szCs w:val="22"/>
        </w:rPr>
      </w:pPr>
    </w:p>
    <w:p w:rsidR="005128E4" w:rsidRPr="006F267A" w:rsidRDefault="005128E4" w:rsidP="00040C3A">
      <w:pPr>
        <w:tabs>
          <w:tab w:val="center" w:pos="5400"/>
        </w:tabs>
        <w:suppressAutoHyphens/>
        <w:rPr>
          <w:rFonts w:asciiTheme="majorHAnsi" w:hAnsiTheme="majorHAnsi"/>
          <w:sz w:val="22"/>
          <w:szCs w:val="22"/>
        </w:rPr>
      </w:pPr>
    </w:p>
    <w:p w:rsidR="005128E4" w:rsidRPr="006F267A" w:rsidRDefault="005128E4" w:rsidP="00040C3A">
      <w:pPr>
        <w:tabs>
          <w:tab w:val="center" w:pos="5400"/>
        </w:tabs>
        <w:suppressAutoHyphens/>
        <w:rPr>
          <w:rFonts w:asciiTheme="majorHAnsi" w:hAnsiTheme="majorHAnsi"/>
          <w:sz w:val="22"/>
          <w:szCs w:val="22"/>
        </w:rPr>
      </w:pPr>
    </w:p>
    <w:p w:rsidR="00040C3A" w:rsidRPr="006F267A" w:rsidRDefault="00040C3A" w:rsidP="005128E4">
      <w:pPr>
        <w:tabs>
          <w:tab w:val="center" w:pos="5400"/>
        </w:tabs>
        <w:suppressAutoHyphens/>
        <w:jc w:val="center"/>
        <w:rPr>
          <w:rFonts w:asciiTheme="majorHAnsi" w:hAnsiTheme="majorHAnsi"/>
          <w:sz w:val="22"/>
          <w:szCs w:val="22"/>
        </w:rPr>
      </w:pPr>
    </w:p>
    <w:p w:rsidR="00040C3A" w:rsidRPr="006F267A" w:rsidRDefault="00040C3A" w:rsidP="005128E4">
      <w:pPr>
        <w:tabs>
          <w:tab w:val="center" w:pos="5400"/>
        </w:tabs>
        <w:suppressAutoHyphens/>
        <w:jc w:val="center"/>
        <w:rPr>
          <w:rFonts w:asciiTheme="majorHAnsi" w:hAnsiTheme="majorHAnsi"/>
          <w:sz w:val="22"/>
          <w:szCs w:val="22"/>
        </w:rPr>
      </w:pPr>
    </w:p>
    <w:p w:rsidR="005B52B0" w:rsidRPr="006F267A" w:rsidRDefault="005B52B0" w:rsidP="005128E4">
      <w:pPr>
        <w:tabs>
          <w:tab w:val="center" w:pos="5400"/>
        </w:tabs>
        <w:suppressAutoHyphens/>
        <w:jc w:val="center"/>
        <w:rPr>
          <w:rFonts w:asciiTheme="majorHAnsi" w:hAnsiTheme="majorHAnsi"/>
          <w:sz w:val="22"/>
          <w:szCs w:val="22"/>
        </w:rPr>
      </w:pPr>
    </w:p>
    <w:p w:rsidR="005B52B0" w:rsidRPr="006F267A" w:rsidRDefault="005B52B0" w:rsidP="005128E4">
      <w:pPr>
        <w:tabs>
          <w:tab w:val="center" w:pos="5400"/>
        </w:tabs>
        <w:suppressAutoHyphens/>
        <w:jc w:val="center"/>
        <w:rPr>
          <w:rFonts w:asciiTheme="majorHAnsi" w:hAnsiTheme="majorHAnsi"/>
          <w:sz w:val="22"/>
          <w:szCs w:val="22"/>
        </w:rPr>
      </w:pPr>
    </w:p>
    <w:p w:rsidR="005B52B0" w:rsidRPr="006F267A" w:rsidRDefault="005B52B0" w:rsidP="005128E4">
      <w:pPr>
        <w:tabs>
          <w:tab w:val="center" w:pos="5400"/>
        </w:tabs>
        <w:suppressAutoHyphens/>
        <w:jc w:val="center"/>
        <w:rPr>
          <w:rFonts w:asciiTheme="majorHAnsi" w:hAnsiTheme="majorHAnsi"/>
          <w:sz w:val="22"/>
          <w:szCs w:val="22"/>
        </w:rPr>
      </w:pPr>
    </w:p>
    <w:p w:rsidR="00040C3A" w:rsidRPr="006F267A" w:rsidRDefault="00040C3A" w:rsidP="00040C3A">
      <w:pPr>
        <w:tabs>
          <w:tab w:val="center" w:pos="5400"/>
        </w:tabs>
        <w:suppressAutoHyphens/>
        <w:jc w:val="center"/>
        <w:rPr>
          <w:rFonts w:asciiTheme="majorHAnsi" w:hAnsiTheme="majorHAnsi"/>
          <w:sz w:val="22"/>
          <w:szCs w:val="22"/>
        </w:rPr>
      </w:pPr>
    </w:p>
    <w:p w:rsidR="00040C3A" w:rsidRPr="006F267A" w:rsidRDefault="00040C3A" w:rsidP="00040C3A">
      <w:pPr>
        <w:tabs>
          <w:tab w:val="center" w:pos="5400"/>
        </w:tabs>
        <w:suppressAutoHyphens/>
        <w:jc w:val="center"/>
        <w:rPr>
          <w:rFonts w:asciiTheme="majorHAnsi" w:hAnsiTheme="majorHAnsi"/>
          <w:sz w:val="22"/>
          <w:szCs w:val="22"/>
        </w:rPr>
      </w:pPr>
    </w:p>
    <w:p w:rsidR="00040C3A" w:rsidRPr="006F267A" w:rsidRDefault="00040C3A" w:rsidP="00040C3A">
      <w:pPr>
        <w:tabs>
          <w:tab w:val="center" w:pos="5400"/>
        </w:tabs>
        <w:suppressAutoHyphens/>
        <w:jc w:val="center"/>
        <w:rPr>
          <w:rFonts w:asciiTheme="majorHAnsi" w:hAnsiTheme="majorHAnsi"/>
          <w:sz w:val="22"/>
          <w:szCs w:val="22"/>
        </w:rPr>
      </w:pPr>
    </w:p>
    <w:p w:rsidR="00040C3A" w:rsidRPr="006F267A" w:rsidRDefault="00E533FF" w:rsidP="00040C3A">
      <w:pPr>
        <w:tabs>
          <w:tab w:val="center" w:pos="5400"/>
        </w:tabs>
        <w:suppressAutoHyphens/>
        <w:jc w:val="center"/>
        <w:rPr>
          <w:rFonts w:asciiTheme="majorHAnsi" w:hAnsiTheme="majorHAnsi"/>
          <w:sz w:val="22"/>
          <w:szCs w:val="22"/>
        </w:rPr>
      </w:pPr>
      <w:r w:rsidRPr="006F267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1D86" w:rsidRPr="004B7EB6" w:rsidRDefault="0023186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50</w:t>
                            </w:r>
                            <w:r w:rsidR="00141D86" w:rsidRPr="004B7EB6">
                              <w:rPr>
                                <w:rFonts w:asciiTheme="majorHAnsi" w:hAnsiTheme="majorHAnsi" w:cs="Arial"/>
                                <w:b/>
                                <w:bCs/>
                                <w:color w:val="0D0D0D" w:themeColor="text1" w:themeTint="F2"/>
                                <w:sz w:val="36"/>
                                <w:szCs w:val="40"/>
                              </w:rPr>
                              <w:t>/</w:t>
                            </w:r>
                            <w:r w:rsidR="00141D86">
                              <w:rPr>
                                <w:rFonts w:asciiTheme="majorHAnsi" w:hAnsiTheme="majorHAnsi" w:cs="Arial"/>
                                <w:b/>
                                <w:bCs/>
                                <w:color w:val="0D0D0D" w:themeColor="text1" w:themeTint="F2"/>
                                <w:sz w:val="36"/>
                                <w:szCs w:val="40"/>
                              </w:rPr>
                              <w:t>17</w:t>
                            </w:r>
                          </w:p>
                          <w:p w:rsidR="00141D86" w:rsidRPr="004B7EB6" w:rsidRDefault="00141D8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70302A">
                              <w:rPr>
                                <w:rFonts w:asciiTheme="majorHAnsi" w:hAnsiTheme="majorHAnsi" w:cs="Arial"/>
                                <w:b/>
                                <w:color w:val="0D0D0D" w:themeColor="text1" w:themeTint="F2"/>
                                <w:sz w:val="36"/>
                                <w:szCs w:val="40"/>
                              </w:rPr>
                              <w:t>464-10B</w:t>
                            </w:r>
                            <w:r w:rsidRPr="004B7EB6">
                              <w:rPr>
                                <w:rFonts w:asciiTheme="majorHAnsi" w:hAnsiTheme="majorHAnsi" w:cs="Arial"/>
                                <w:b/>
                                <w:color w:val="0D0D0D" w:themeColor="text1" w:themeTint="F2"/>
                                <w:sz w:val="36"/>
                                <w:szCs w:val="40"/>
                              </w:rPr>
                              <w:t xml:space="preserve"> </w:t>
                            </w:r>
                          </w:p>
                          <w:p w:rsidR="00141D86" w:rsidRPr="004B7EB6" w:rsidRDefault="00141D86" w:rsidP="0070302A">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rsidR="00141D86" w:rsidRPr="004B7EB6" w:rsidRDefault="00141D86" w:rsidP="004B7EB6">
                            <w:pPr>
                              <w:spacing w:line="276" w:lineRule="auto"/>
                              <w:rPr>
                                <w:rFonts w:asciiTheme="majorHAnsi" w:hAnsiTheme="majorHAnsi" w:cs="Arial"/>
                                <w:color w:val="0D0D0D" w:themeColor="text1" w:themeTint="F2"/>
                                <w:szCs w:val="22"/>
                              </w:rPr>
                            </w:pPr>
                          </w:p>
                          <w:p w:rsidR="00141D86" w:rsidRPr="0070302A" w:rsidRDefault="0070302A" w:rsidP="004B7EB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JOSÉ RUPERTO AGUDELO CIRO AND FAMILY</w:t>
                            </w:r>
                          </w:p>
                          <w:p w:rsidR="00141D86" w:rsidRPr="004B7EB6" w:rsidRDefault="0070302A"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 xml:space="preserve">COLOMBIA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141D86" w:rsidRPr="004B7EB6" w:rsidRDefault="0023186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50</w:t>
                      </w:r>
                      <w:r w:rsidR="00141D86" w:rsidRPr="004B7EB6">
                        <w:rPr>
                          <w:rFonts w:asciiTheme="majorHAnsi" w:hAnsiTheme="majorHAnsi" w:cs="Arial"/>
                          <w:b/>
                          <w:bCs/>
                          <w:color w:val="0D0D0D" w:themeColor="text1" w:themeTint="F2"/>
                          <w:sz w:val="36"/>
                          <w:szCs w:val="40"/>
                        </w:rPr>
                        <w:t>/</w:t>
                      </w:r>
                      <w:r w:rsidR="00141D86">
                        <w:rPr>
                          <w:rFonts w:asciiTheme="majorHAnsi" w:hAnsiTheme="majorHAnsi" w:cs="Arial"/>
                          <w:b/>
                          <w:bCs/>
                          <w:color w:val="0D0D0D" w:themeColor="text1" w:themeTint="F2"/>
                          <w:sz w:val="36"/>
                          <w:szCs w:val="40"/>
                        </w:rPr>
                        <w:t>17</w:t>
                      </w:r>
                    </w:p>
                    <w:p w:rsidR="00141D86" w:rsidRPr="004B7EB6" w:rsidRDefault="00141D8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70302A">
                        <w:rPr>
                          <w:rFonts w:asciiTheme="majorHAnsi" w:hAnsiTheme="majorHAnsi" w:cs="Arial"/>
                          <w:b/>
                          <w:color w:val="0D0D0D" w:themeColor="text1" w:themeTint="F2"/>
                          <w:sz w:val="36"/>
                          <w:szCs w:val="40"/>
                        </w:rPr>
                        <w:t>464-10B</w:t>
                      </w:r>
                      <w:r w:rsidRPr="004B7EB6">
                        <w:rPr>
                          <w:rFonts w:asciiTheme="majorHAnsi" w:hAnsiTheme="majorHAnsi" w:cs="Arial"/>
                          <w:b/>
                          <w:color w:val="0D0D0D" w:themeColor="text1" w:themeTint="F2"/>
                          <w:sz w:val="36"/>
                          <w:szCs w:val="40"/>
                        </w:rPr>
                        <w:t xml:space="preserve"> </w:t>
                      </w:r>
                    </w:p>
                    <w:p w:rsidR="00141D86" w:rsidRPr="004B7EB6" w:rsidRDefault="00141D86" w:rsidP="0070302A">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rsidR="00141D86" w:rsidRPr="004B7EB6" w:rsidRDefault="00141D86" w:rsidP="004B7EB6">
                      <w:pPr>
                        <w:spacing w:line="276" w:lineRule="auto"/>
                        <w:rPr>
                          <w:rFonts w:asciiTheme="majorHAnsi" w:hAnsiTheme="majorHAnsi" w:cs="Arial"/>
                          <w:color w:val="0D0D0D" w:themeColor="text1" w:themeTint="F2"/>
                          <w:szCs w:val="22"/>
                        </w:rPr>
                      </w:pPr>
                    </w:p>
                    <w:p w:rsidR="00141D86" w:rsidRPr="0070302A" w:rsidRDefault="0070302A" w:rsidP="004B7EB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JOSÉ RUPERTO AGUDELO CIRO AND FAMILY</w:t>
                      </w:r>
                    </w:p>
                    <w:p w:rsidR="00141D86" w:rsidRPr="004B7EB6" w:rsidRDefault="0070302A"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 xml:space="preserve">COLOMBIA </w:t>
                      </w:r>
                    </w:p>
                  </w:txbxContent>
                </v:textbox>
              </v:shape>
            </w:pict>
          </mc:Fallback>
        </mc:AlternateContent>
      </w:r>
      <w:r w:rsidR="004B7EB6" w:rsidRPr="006F267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1D86" w:rsidRPr="004B7EB6" w:rsidRDefault="00141D86"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231860">
                              <w:rPr>
                                <w:rFonts w:asciiTheme="minorHAnsi" w:hAnsiTheme="minorHAnsi"/>
                                <w:color w:val="FFFFFF" w:themeColor="background1"/>
                                <w:sz w:val="22"/>
                                <w:lang w:val="pt-BR"/>
                              </w:rPr>
                              <w:t>162</w:t>
                            </w:r>
                          </w:p>
                          <w:p w:rsidR="00141D86" w:rsidRPr="004B7EB6" w:rsidRDefault="00231860"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62</w:t>
                            </w:r>
                          </w:p>
                          <w:p w:rsidR="00141D86" w:rsidRPr="004B7EB6" w:rsidRDefault="00231860"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25 May </w:t>
                            </w:r>
                            <w:r w:rsidR="00141D86">
                              <w:rPr>
                                <w:rFonts w:asciiTheme="minorHAnsi" w:hAnsiTheme="minorHAnsi"/>
                                <w:color w:val="FFFFFF" w:themeColor="background1"/>
                                <w:sz w:val="22"/>
                              </w:rPr>
                              <w:t>2017</w:t>
                            </w:r>
                          </w:p>
                          <w:p w:rsidR="00141D86" w:rsidRPr="004B7EB6" w:rsidRDefault="00141D86"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70302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141D86" w:rsidRPr="004B7EB6" w:rsidRDefault="00141D86"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231860">
                        <w:rPr>
                          <w:rFonts w:asciiTheme="minorHAnsi" w:hAnsiTheme="minorHAnsi"/>
                          <w:color w:val="FFFFFF" w:themeColor="background1"/>
                          <w:sz w:val="22"/>
                          <w:lang w:val="pt-BR"/>
                        </w:rPr>
                        <w:t>162</w:t>
                      </w:r>
                    </w:p>
                    <w:p w:rsidR="00141D86" w:rsidRPr="004B7EB6" w:rsidRDefault="00231860"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62</w:t>
                      </w:r>
                    </w:p>
                    <w:p w:rsidR="00141D86" w:rsidRPr="004B7EB6" w:rsidRDefault="00231860"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25 May </w:t>
                      </w:r>
                      <w:r w:rsidR="00141D86">
                        <w:rPr>
                          <w:rFonts w:asciiTheme="minorHAnsi" w:hAnsiTheme="minorHAnsi"/>
                          <w:color w:val="FFFFFF" w:themeColor="background1"/>
                          <w:sz w:val="22"/>
                        </w:rPr>
                        <w:t>2017</w:t>
                      </w:r>
                    </w:p>
                    <w:p w:rsidR="00141D86" w:rsidRPr="004B7EB6" w:rsidRDefault="00141D86"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70302A">
                        <w:rPr>
                          <w:rFonts w:asciiTheme="minorHAnsi" w:hAnsiTheme="minorHAnsi"/>
                          <w:color w:val="FFFFFF" w:themeColor="background1"/>
                          <w:sz w:val="22"/>
                        </w:rPr>
                        <w:t>Spanish</w:t>
                      </w:r>
                    </w:p>
                  </w:txbxContent>
                </v:textbox>
              </v:shape>
            </w:pict>
          </mc:Fallback>
        </mc:AlternateContent>
      </w:r>
    </w:p>
    <w:p w:rsidR="00040C3A" w:rsidRPr="006F267A" w:rsidRDefault="00040C3A" w:rsidP="00040C3A">
      <w:pPr>
        <w:tabs>
          <w:tab w:val="center" w:pos="5400"/>
        </w:tabs>
        <w:suppressAutoHyphens/>
        <w:jc w:val="center"/>
        <w:rPr>
          <w:rFonts w:asciiTheme="majorHAnsi" w:hAnsiTheme="majorHAnsi"/>
          <w:sz w:val="22"/>
          <w:szCs w:val="22"/>
        </w:rPr>
      </w:pPr>
    </w:p>
    <w:p w:rsidR="00040C3A" w:rsidRPr="006F267A" w:rsidRDefault="00040C3A" w:rsidP="00040C3A">
      <w:pPr>
        <w:tabs>
          <w:tab w:val="center" w:pos="5400"/>
        </w:tabs>
        <w:suppressAutoHyphens/>
        <w:jc w:val="center"/>
        <w:rPr>
          <w:rFonts w:asciiTheme="majorHAnsi" w:hAnsiTheme="majorHAnsi" w:cs="Arial"/>
          <w:sz w:val="22"/>
          <w:szCs w:val="22"/>
        </w:rPr>
      </w:pPr>
    </w:p>
    <w:p w:rsidR="00040C3A" w:rsidRPr="006F267A" w:rsidRDefault="00040C3A" w:rsidP="00040C3A">
      <w:pPr>
        <w:tabs>
          <w:tab w:val="center" w:pos="5400"/>
        </w:tabs>
        <w:suppressAutoHyphens/>
        <w:jc w:val="center"/>
        <w:rPr>
          <w:rFonts w:asciiTheme="majorHAnsi" w:hAnsiTheme="majorHAnsi"/>
          <w:sz w:val="22"/>
          <w:szCs w:val="22"/>
        </w:rPr>
      </w:pPr>
    </w:p>
    <w:p w:rsidR="00040C3A" w:rsidRPr="006F267A" w:rsidRDefault="00040C3A" w:rsidP="00040C3A">
      <w:pPr>
        <w:tabs>
          <w:tab w:val="center" w:pos="5400"/>
        </w:tabs>
        <w:suppressAutoHyphens/>
        <w:jc w:val="center"/>
        <w:rPr>
          <w:rFonts w:asciiTheme="majorHAnsi" w:hAnsiTheme="majorHAnsi"/>
          <w:sz w:val="22"/>
          <w:szCs w:val="22"/>
        </w:rPr>
      </w:pPr>
    </w:p>
    <w:p w:rsidR="00040C3A" w:rsidRPr="006F267A" w:rsidRDefault="00040C3A" w:rsidP="00040C3A">
      <w:pPr>
        <w:tabs>
          <w:tab w:val="center" w:pos="5400"/>
        </w:tabs>
        <w:suppressAutoHyphens/>
        <w:jc w:val="center"/>
        <w:rPr>
          <w:rFonts w:asciiTheme="majorHAnsi" w:hAnsiTheme="majorHAnsi"/>
          <w:sz w:val="22"/>
          <w:szCs w:val="22"/>
        </w:rPr>
      </w:pPr>
    </w:p>
    <w:p w:rsidR="00040C3A" w:rsidRPr="006F267A" w:rsidRDefault="00040C3A" w:rsidP="00040C3A">
      <w:pPr>
        <w:tabs>
          <w:tab w:val="center" w:pos="5400"/>
        </w:tabs>
        <w:suppressAutoHyphens/>
        <w:jc w:val="center"/>
        <w:rPr>
          <w:rFonts w:asciiTheme="majorHAnsi" w:hAnsiTheme="majorHAnsi"/>
          <w:sz w:val="22"/>
          <w:szCs w:val="22"/>
        </w:rPr>
      </w:pPr>
    </w:p>
    <w:p w:rsidR="005128E4" w:rsidRPr="006F267A" w:rsidRDefault="005128E4" w:rsidP="00040C3A">
      <w:pPr>
        <w:tabs>
          <w:tab w:val="center" w:pos="5400"/>
        </w:tabs>
        <w:suppressAutoHyphens/>
        <w:jc w:val="center"/>
        <w:rPr>
          <w:rFonts w:asciiTheme="majorHAnsi" w:hAnsiTheme="majorHAnsi"/>
          <w:sz w:val="22"/>
          <w:szCs w:val="22"/>
        </w:rPr>
      </w:pPr>
    </w:p>
    <w:p w:rsidR="00040C3A" w:rsidRPr="006F267A" w:rsidRDefault="00040C3A" w:rsidP="00040C3A">
      <w:pPr>
        <w:tabs>
          <w:tab w:val="center" w:pos="5400"/>
        </w:tabs>
        <w:suppressAutoHyphens/>
        <w:jc w:val="center"/>
        <w:rPr>
          <w:rFonts w:asciiTheme="majorHAnsi" w:hAnsiTheme="majorHAnsi"/>
          <w:sz w:val="22"/>
          <w:szCs w:val="22"/>
        </w:rPr>
      </w:pPr>
    </w:p>
    <w:p w:rsidR="005128E4" w:rsidRPr="006F267A" w:rsidRDefault="005128E4" w:rsidP="00040C3A">
      <w:pPr>
        <w:tabs>
          <w:tab w:val="center" w:pos="5400"/>
        </w:tabs>
        <w:suppressAutoHyphens/>
        <w:jc w:val="center"/>
        <w:rPr>
          <w:rFonts w:asciiTheme="majorHAnsi" w:hAnsiTheme="majorHAnsi"/>
          <w:sz w:val="22"/>
          <w:szCs w:val="22"/>
        </w:rPr>
      </w:pPr>
    </w:p>
    <w:p w:rsidR="005128E4" w:rsidRPr="006F267A" w:rsidRDefault="005128E4" w:rsidP="00040C3A">
      <w:pPr>
        <w:tabs>
          <w:tab w:val="center" w:pos="5400"/>
        </w:tabs>
        <w:suppressAutoHyphens/>
        <w:jc w:val="center"/>
        <w:rPr>
          <w:rFonts w:asciiTheme="majorHAnsi" w:hAnsiTheme="majorHAnsi"/>
          <w:sz w:val="22"/>
          <w:szCs w:val="22"/>
        </w:rPr>
      </w:pPr>
    </w:p>
    <w:p w:rsidR="005128E4" w:rsidRPr="006F267A" w:rsidRDefault="005128E4" w:rsidP="00040C3A">
      <w:pPr>
        <w:tabs>
          <w:tab w:val="center" w:pos="5400"/>
        </w:tabs>
        <w:suppressAutoHyphens/>
        <w:jc w:val="center"/>
        <w:rPr>
          <w:rFonts w:asciiTheme="majorHAnsi" w:hAnsiTheme="majorHAnsi"/>
          <w:sz w:val="22"/>
          <w:szCs w:val="22"/>
        </w:rPr>
      </w:pPr>
    </w:p>
    <w:p w:rsidR="00040C3A" w:rsidRPr="006F267A" w:rsidRDefault="00040C3A" w:rsidP="00040C3A">
      <w:pPr>
        <w:tabs>
          <w:tab w:val="center" w:pos="5400"/>
        </w:tabs>
        <w:suppressAutoHyphens/>
        <w:jc w:val="center"/>
        <w:rPr>
          <w:rFonts w:asciiTheme="majorHAnsi" w:hAnsiTheme="majorHAnsi"/>
          <w:sz w:val="22"/>
          <w:szCs w:val="22"/>
        </w:rPr>
      </w:pPr>
    </w:p>
    <w:p w:rsidR="00040C3A" w:rsidRPr="006F267A" w:rsidRDefault="00040C3A" w:rsidP="00040C3A">
      <w:pPr>
        <w:tabs>
          <w:tab w:val="center" w:pos="5400"/>
        </w:tabs>
        <w:suppressAutoHyphens/>
        <w:jc w:val="center"/>
        <w:rPr>
          <w:rFonts w:asciiTheme="majorHAnsi" w:hAnsiTheme="majorHAnsi"/>
          <w:sz w:val="22"/>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3C32BC" w:rsidP="00040C3A">
      <w:pPr>
        <w:tabs>
          <w:tab w:val="center" w:pos="5400"/>
        </w:tabs>
        <w:suppressAutoHyphens/>
        <w:jc w:val="center"/>
        <w:rPr>
          <w:rFonts w:asciiTheme="majorHAnsi" w:hAnsiTheme="majorHAnsi"/>
          <w:sz w:val="18"/>
          <w:szCs w:val="22"/>
        </w:rPr>
      </w:pPr>
      <w:r w:rsidRPr="006F267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860" w:rsidRPr="003C32BC" w:rsidRDefault="00231860" w:rsidP="00231860">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2085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May 25, 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162</w:t>
                            </w:r>
                            <w:r>
                              <w:rPr>
                                <w:rFonts w:asciiTheme="majorHAnsi" w:hAnsiTheme="majorHAnsi" w:cs="Univers"/>
                                <w:sz w:val="18"/>
                                <w:szCs w:val="20"/>
                                <w:vertAlign w:val="superscript"/>
                              </w:rPr>
                              <w:t>nd</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Extraordinary</w:t>
                            </w:r>
                            <w:r w:rsidRPr="003C32BC">
                              <w:rPr>
                                <w:rFonts w:asciiTheme="majorHAnsi" w:hAnsiTheme="majorHAnsi" w:cs="Univers"/>
                                <w:color w:val="0D0D0D" w:themeColor="text1" w:themeTint="F2"/>
                                <w:sz w:val="18"/>
                                <w:szCs w:val="20"/>
                              </w:rPr>
                              <w:t xml:space="preserve"> Period of Sessions</w:t>
                            </w:r>
                          </w:p>
                          <w:p w:rsidR="00141D86" w:rsidRPr="003C32BC" w:rsidRDefault="00141D86"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231860" w:rsidRPr="003C32BC" w:rsidRDefault="00231860" w:rsidP="00231860">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2085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May 25, 2017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162</w:t>
                      </w:r>
                      <w:r>
                        <w:rPr>
                          <w:rFonts w:asciiTheme="majorHAnsi" w:hAnsiTheme="majorHAnsi" w:cs="Univers"/>
                          <w:sz w:val="18"/>
                          <w:szCs w:val="20"/>
                          <w:vertAlign w:val="superscript"/>
                        </w:rPr>
                        <w:t>nd</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Extraordinary</w:t>
                      </w:r>
                      <w:r w:rsidRPr="003C32BC">
                        <w:rPr>
                          <w:rFonts w:asciiTheme="majorHAnsi" w:hAnsiTheme="majorHAnsi" w:cs="Univers"/>
                          <w:color w:val="0D0D0D" w:themeColor="text1" w:themeTint="F2"/>
                          <w:sz w:val="18"/>
                          <w:szCs w:val="20"/>
                        </w:rPr>
                        <w:t xml:space="preserve"> Period of Sessions</w:t>
                      </w:r>
                    </w:p>
                    <w:p w:rsidR="00141D86" w:rsidRPr="003C32BC" w:rsidRDefault="00141D86"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3C32BC" w:rsidP="00040C3A">
      <w:pPr>
        <w:tabs>
          <w:tab w:val="center" w:pos="5400"/>
        </w:tabs>
        <w:suppressAutoHyphens/>
        <w:jc w:val="center"/>
        <w:rPr>
          <w:rFonts w:asciiTheme="majorHAnsi" w:hAnsiTheme="majorHAnsi"/>
          <w:sz w:val="18"/>
          <w:szCs w:val="22"/>
        </w:rPr>
      </w:pPr>
      <w:r w:rsidRPr="006F267A">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1D86" w:rsidRPr="003C32BC" w:rsidRDefault="00141D8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231860">
                              <w:rPr>
                                <w:rFonts w:asciiTheme="majorHAnsi" w:hAnsiTheme="majorHAnsi"/>
                                <w:color w:val="595959" w:themeColor="text1" w:themeTint="A6"/>
                                <w:sz w:val="18"/>
                              </w:rPr>
                              <w:t>IACHR, Report No. 50/17. Petition 464-10B.</w:t>
                            </w:r>
                            <w:r w:rsidRPr="003C32BC">
                              <w:rPr>
                                <w:rFonts w:asciiTheme="majorHAnsi" w:hAnsiTheme="majorHAnsi"/>
                                <w:color w:val="595959" w:themeColor="text1" w:themeTint="A6"/>
                                <w:sz w:val="18"/>
                              </w:rPr>
                              <w:t xml:space="preserve"> 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70302A">
                              <w:rPr>
                                <w:rFonts w:asciiTheme="majorHAnsi" w:hAnsiTheme="majorHAnsi"/>
                                <w:color w:val="595959" w:themeColor="text1" w:themeTint="A6"/>
                                <w:sz w:val="18"/>
                              </w:rPr>
                              <w:t>.</w:t>
                            </w:r>
                            <w:r w:rsidR="0070302A" w:rsidRPr="003C32BC">
                              <w:rPr>
                                <w:rFonts w:asciiTheme="majorHAnsi" w:hAnsiTheme="majorHAnsi"/>
                                <w:color w:val="595959" w:themeColor="text1" w:themeTint="A6"/>
                                <w:sz w:val="18"/>
                              </w:rPr>
                              <w:t xml:space="preserve"> </w:t>
                            </w:r>
                            <w:r w:rsidR="0070302A">
                              <w:rPr>
                                <w:rFonts w:asciiTheme="majorHAnsi" w:hAnsiTheme="majorHAnsi"/>
                                <w:color w:val="595959" w:themeColor="text1" w:themeTint="A6"/>
                                <w:sz w:val="18"/>
                              </w:rPr>
                              <w:t>José Ruperto Agudelo Ciro and Family</w:t>
                            </w:r>
                            <w:r w:rsidRPr="003C32BC">
                              <w:rPr>
                                <w:rFonts w:asciiTheme="majorHAnsi" w:hAnsiTheme="majorHAnsi"/>
                                <w:color w:val="595959" w:themeColor="text1" w:themeTint="A6"/>
                                <w:sz w:val="18"/>
                              </w:rPr>
                              <w:t xml:space="preserve">. </w:t>
                            </w:r>
                            <w:r w:rsidR="0070302A">
                              <w:rPr>
                                <w:rFonts w:asciiTheme="majorHAnsi" w:hAnsiTheme="majorHAnsi"/>
                                <w:color w:val="595959" w:themeColor="text1" w:themeTint="A6"/>
                                <w:sz w:val="18"/>
                              </w:rPr>
                              <w:t xml:space="preserve">Colombia. </w:t>
                            </w:r>
                            <w:r w:rsidR="00231860">
                              <w:rPr>
                                <w:rFonts w:asciiTheme="majorHAnsi" w:hAnsiTheme="majorHAnsi"/>
                                <w:color w:val="595959" w:themeColor="text1" w:themeTint="A6"/>
                                <w:sz w:val="18"/>
                              </w:rPr>
                              <w:t>May 25, 2017</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141D86" w:rsidRPr="003C32BC" w:rsidRDefault="00141D8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231860">
                        <w:rPr>
                          <w:rFonts w:asciiTheme="majorHAnsi" w:hAnsiTheme="majorHAnsi"/>
                          <w:color w:val="595959" w:themeColor="text1" w:themeTint="A6"/>
                          <w:sz w:val="18"/>
                        </w:rPr>
                        <w:t xml:space="preserve">IACHR, Report No. 50/17. </w:t>
                      </w:r>
                      <w:proofErr w:type="gramStart"/>
                      <w:r w:rsidR="00231860">
                        <w:rPr>
                          <w:rFonts w:asciiTheme="majorHAnsi" w:hAnsiTheme="majorHAnsi"/>
                          <w:color w:val="595959" w:themeColor="text1" w:themeTint="A6"/>
                          <w:sz w:val="18"/>
                        </w:rPr>
                        <w:t>Petition 464-10B.</w:t>
                      </w:r>
                      <w:proofErr w:type="gramEnd"/>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70302A">
                        <w:rPr>
                          <w:rFonts w:asciiTheme="majorHAnsi" w:hAnsiTheme="majorHAnsi"/>
                          <w:color w:val="595959" w:themeColor="text1" w:themeTint="A6"/>
                          <w:sz w:val="18"/>
                        </w:rPr>
                        <w:t>.</w:t>
                      </w:r>
                      <w:proofErr w:type="gramEnd"/>
                      <w:r w:rsidR="0070302A" w:rsidRPr="003C32BC">
                        <w:rPr>
                          <w:rFonts w:asciiTheme="majorHAnsi" w:hAnsiTheme="majorHAnsi"/>
                          <w:color w:val="595959" w:themeColor="text1" w:themeTint="A6"/>
                          <w:sz w:val="18"/>
                        </w:rPr>
                        <w:t xml:space="preserve"> </w:t>
                      </w:r>
                      <w:proofErr w:type="gramStart"/>
                      <w:r w:rsidR="0070302A">
                        <w:rPr>
                          <w:rFonts w:asciiTheme="majorHAnsi" w:hAnsiTheme="majorHAnsi"/>
                          <w:color w:val="595959" w:themeColor="text1" w:themeTint="A6"/>
                          <w:sz w:val="18"/>
                        </w:rPr>
                        <w:t xml:space="preserve">José </w:t>
                      </w:r>
                      <w:proofErr w:type="spellStart"/>
                      <w:r w:rsidR="0070302A">
                        <w:rPr>
                          <w:rFonts w:asciiTheme="majorHAnsi" w:hAnsiTheme="majorHAnsi"/>
                          <w:color w:val="595959" w:themeColor="text1" w:themeTint="A6"/>
                          <w:sz w:val="18"/>
                        </w:rPr>
                        <w:t>Ruperto</w:t>
                      </w:r>
                      <w:proofErr w:type="spellEnd"/>
                      <w:r w:rsidR="0070302A">
                        <w:rPr>
                          <w:rFonts w:asciiTheme="majorHAnsi" w:hAnsiTheme="majorHAnsi"/>
                          <w:color w:val="595959" w:themeColor="text1" w:themeTint="A6"/>
                          <w:sz w:val="18"/>
                        </w:rPr>
                        <w:t xml:space="preserve"> </w:t>
                      </w:r>
                      <w:proofErr w:type="spellStart"/>
                      <w:r w:rsidR="0070302A">
                        <w:rPr>
                          <w:rFonts w:asciiTheme="majorHAnsi" w:hAnsiTheme="majorHAnsi"/>
                          <w:color w:val="595959" w:themeColor="text1" w:themeTint="A6"/>
                          <w:sz w:val="18"/>
                        </w:rPr>
                        <w:t>Agudelo</w:t>
                      </w:r>
                      <w:proofErr w:type="spellEnd"/>
                      <w:r w:rsidR="0070302A">
                        <w:rPr>
                          <w:rFonts w:asciiTheme="majorHAnsi" w:hAnsiTheme="majorHAnsi"/>
                          <w:color w:val="595959" w:themeColor="text1" w:themeTint="A6"/>
                          <w:sz w:val="18"/>
                        </w:rPr>
                        <w:t xml:space="preserve"> </w:t>
                      </w:r>
                      <w:proofErr w:type="spellStart"/>
                      <w:r w:rsidR="0070302A">
                        <w:rPr>
                          <w:rFonts w:asciiTheme="majorHAnsi" w:hAnsiTheme="majorHAnsi"/>
                          <w:color w:val="595959" w:themeColor="text1" w:themeTint="A6"/>
                          <w:sz w:val="18"/>
                        </w:rPr>
                        <w:t>Ciro</w:t>
                      </w:r>
                      <w:proofErr w:type="spellEnd"/>
                      <w:r w:rsidR="0070302A">
                        <w:rPr>
                          <w:rFonts w:asciiTheme="majorHAnsi" w:hAnsiTheme="majorHAnsi"/>
                          <w:color w:val="595959" w:themeColor="text1" w:themeTint="A6"/>
                          <w:sz w:val="18"/>
                        </w:rPr>
                        <w:t xml:space="preserve"> and Family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70302A">
                        <w:rPr>
                          <w:rFonts w:asciiTheme="majorHAnsi" w:hAnsiTheme="majorHAnsi"/>
                          <w:color w:val="595959" w:themeColor="text1" w:themeTint="A6"/>
                          <w:sz w:val="18"/>
                        </w:rPr>
                        <w:t xml:space="preserve">Colombia. </w:t>
                      </w:r>
                      <w:r w:rsidR="00231860">
                        <w:rPr>
                          <w:rFonts w:asciiTheme="majorHAnsi" w:hAnsiTheme="majorHAnsi"/>
                          <w:color w:val="595959" w:themeColor="text1" w:themeTint="A6"/>
                          <w:sz w:val="18"/>
                        </w:rPr>
                        <w:t>May 25, 2017</w:t>
                      </w:r>
                      <w:r w:rsidRPr="007607C4">
                        <w:rPr>
                          <w:rFonts w:asciiTheme="majorHAnsi" w:hAnsiTheme="majorHAnsi"/>
                          <w:color w:val="595959" w:themeColor="text1" w:themeTint="A6"/>
                          <w:sz w:val="18"/>
                        </w:rPr>
                        <w:t>.</w:t>
                      </w:r>
                    </w:p>
                  </w:txbxContent>
                </v:textbox>
              </v:shape>
            </w:pict>
          </mc:Fallback>
        </mc:AlternateContent>
      </w:r>
    </w:p>
    <w:p w:rsidR="002C1641" w:rsidRPr="006F267A" w:rsidRDefault="002C1641" w:rsidP="00040C3A">
      <w:pPr>
        <w:tabs>
          <w:tab w:val="center" w:pos="5400"/>
        </w:tabs>
        <w:suppressAutoHyphens/>
        <w:jc w:val="center"/>
        <w:rPr>
          <w:rFonts w:asciiTheme="majorHAnsi" w:hAnsiTheme="majorHAnsi"/>
          <w:sz w:val="18"/>
          <w:szCs w:val="22"/>
        </w:rPr>
      </w:pPr>
    </w:p>
    <w:p w:rsidR="002C1641" w:rsidRPr="006F267A" w:rsidRDefault="002C1641" w:rsidP="00040C3A">
      <w:pPr>
        <w:tabs>
          <w:tab w:val="center" w:pos="5400"/>
        </w:tabs>
        <w:suppressAutoHyphens/>
        <w:jc w:val="center"/>
        <w:rPr>
          <w:rFonts w:asciiTheme="majorHAnsi" w:hAnsiTheme="majorHAnsi"/>
          <w:sz w:val="18"/>
          <w:szCs w:val="22"/>
        </w:rPr>
      </w:pPr>
    </w:p>
    <w:p w:rsidR="003C32BC" w:rsidRPr="006F267A" w:rsidRDefault="003C32BC" w:rsidP="003C32BC">
      <w:pPr>
        <w:tabs>
          <w:tab w:val="center" w:pos="5400"/>
        </w:tabs>
        <w:suppressAutoHyphens/>
        <w:jc w:val="center"/>
        <w:rPr>
          <w:rFonts w:asciiTheme="majorHAnsi" w:hAnsiTheme="majorHAnsi"/>
          <w:sz w:val="18"/>
          <w:szCs w:val="22"/>
        </w:rPr>
      </w:pPr>
    </w:p>
    <w:p w:rsidR="003C32BC" w:rsidRPr="006F267A" w:rsidRDefault="006311DA" w:rsidP="003C32BC">
      <w:pPr>
        <w:tabs>
          <w:tab w:val="center" w:pos="5400"/>
        </w:tabs>
        <w:suppressAutoHyphens/>
        <w:jc w:val="center"/>
        <w:rPr>
          <w:rFonts w:asciiTheme="majorHAnsi" w:hAnsiTheme="majorHAnsi"/>
          <w:sz w:val="18"/>
          <w:szCs w:val="22"/>
        </w:rPr>
      </w:pPr>
      <w:r w:rsidRPr="006F267A">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1D86" w:rsidRPr="004B7EB6" w:rsidRDefault="00141D8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141D86" w:rsidRPr="004B7EB6" w:rsidRDefault="00141D8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6F267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1D86" w:rsidRDefault="00141D86">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141D86" w:rsidRDefault="00141D86">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6F267A" w:rsidRDefault="007607C4" w:rsidP="003C32BC">
      <w:pPr>
        <w:tabs>
          <w:tab w:val="center" w:pos="5400"/>
        </w:tabs>
        <w:suppressAutoHyphens/>
        <w:jc w:val="center"/>
        <w:rPr>
          <w:rFonts w:asciiTheme="majorHAnsi" w:hAnsiTheme="majorHAnsi"/>
          <w:sz w:val="18"/>
          <w:szCs w:val="22"/>
        </w:rPr>
        <w:sectPr w:rsidR="007607C4" w:rsidRPr="006F267A"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9C7FD6" w:rsidRPr="006F267A" w:rsidRDefault="0070302A" w:rsidP="009C7FD6">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 xml:space="preserve">REPORT </w:t>
      </w:r>
      <w:r w:rsidR="00231860">
        <w:rPr>
          <w:rFonts w:asciiTheme="majorHAnsi" w:hAnsiTheme="majorHAnsi"/>
          <w:b/>
          <w:sz w:val="18"/>
          <w:szCs w:val="20"/>
        </w:rPr>
        <w:t>No. 50</w:t>
      </w:r>
      <w:r w:rsidR="009C7FD6" w:rsidRPr="006F267A">
        <w:rPr>
          <w:rFonts w:asciiTheme="majorHAnsi" w:hAnsiTheme="majorHAnsi"/>
          <w:b/>
          <w:sz w:val="18"/>
          <w:szCs w:val="20"/>
        </w:rPr>
        <w:t>/17</w:t>
      </w:r>
    </w:p>
    <w:p w:rsidR="009C7FD6" w:rsidRPr="006F267A" w:rsidRDefault="0070302A" w:rsidP="009C7FD6">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t>PETITION</w:t>
      </w:r>
      <w:r w:rsidR="009C7FD6" w:rsidRPr="006F267A">
        <w:rPr>
          <w:rFonts w:asciiTheme="majorHAnsi" w:hAnsiTheme="majorHAnsi"/>
          <w:b/>
          <w:sz w:val="18"/>
          <w:szCs w:val="20"/>
        </w:rPr>
        <w:t xml:space="preserve"> 464-10 B</w:t>
      </w:r>
    </w:p>
    <w:p w:rsidR="009C7FD6" w:rsidRPr="006F267A" w:rsidRDefault="0070302A" w:rsidP="009C7FD6">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REPORT ON ADMISSIBILITY</w:t>
      </w:r>
      <w:r w:rsidR="009C7FD6" w:rsidRPr="006F267A">
        <w:rPr>
          <w:rFonts w:asciiTheme="majorHAnsi" w:hAnsiTheme="majorHAnsi"/>
          <w:sz w:val="18"/>
          <w:szCs w:val="20"/>
        </w:rPr>
        <w:t xml:space="preserve"> </w:t>
      </w:r>
    </w:p>
    <w:p w:rsidR="009C7FD6" w:rsidRPr="0069360C" w:rsidRDefault="009C7FD6" w:rsidP="009C7FD6">
      <w:pPr>
        <w:tabs>
          <w:tab w:val="center" w:pos="5400"/>
        </w:tabs>
        <w:suppressAutoHyphens/>
        <w:spacing w:line="276" w:lineRule="auto"/>
        <w:jc w:val="center"/>
        <w:rPr>
          <w:rFonts w:asciiTheme="majorHAnsi" w:hAnsiTheme="majorHAnsi"/>
          <w:sz w:val="18"/>
          <w:szCs w:val="20"/>
          <w:lang w:val="es-ES"/>
        </w:rPr>
      </w:pPr>
      <w:r w:rsidRPr="0069360C">
        <w:rPr>
          <w:rFonts w:asciiTheme="majorHAnsi" w:hAnsiTheme="majorHAnsi"/>
          <w:sz w:val="18"/>
          <w:szCs w:val="20"/>
          <w:lang w:val="es-ES"/>
        </w:rPr>
        <w:t xml:space="preserve">JOSÉ RUPERTO AGUDELO CIRO </w:t>
      </w:r>
      <w:r w:rsidR="0069360C" w:rsidRPr="0069360C">
        <w:rPr>
          <w:rFonts w:asciiTheme="majorHAnsi" w:hAnsiTheme="majorHAnsi"/>
          <w:sz w:val="18"/>
          <w:szCs w:val="20"/>
          <w:lang w:val="es-ES"/>
        </w:rPr>
        <w:t xml:space="preserve">AND </w:t>
      </w:r>
      <w:r w:rsidRPr="0069360C">
        <w:rPr>
          <w:rFonts w:asciiTheme="majorHAnsi" w:hAnsiTheme="majorHAnsi"/>
          <w:sz w:val="18"/>
          <w:szCs w:val="20"/>
          <w:lang w:val="es-ES"/>
        </w:rPr>
        <w:t>FAMIL</w:t>
      </w:r>
      <w:r w:rsidR="004415FC">
        <w:rPr>
          <w:rFonts w:asciiTheme="majorHAnsi" w:hAnsiTheme="majorHAnsi"/>
          <w:sz w:val="18"/>
          <w:szCs w:val="20"/>
          <w:lang w:val="es-ES"/>
        </w:rPr>
        <w:t>Y</w:t>
      </w:r>
      <w:r w:rsidRPr="006F267A">
        <w:rPr>
          <w:rFonts w:asciiTheme="majorHAnsi" w:hAnsiTheme="majorHAnsi"/>
          <w:sz w:val="18"/>
          <w:szCs w:val="20"/>
          <w:vertAlign w:val="superscript"/>
        </w:rPr>
        <w:footnoteReference w:id="2"/>
      </w:r>
    </w:p>
    <w:p w:rsidR="009C7FD6" w:rsidRPr="00085D81" w:rsidRDefault="009C7FD6" w:rsidP="009C7FD6">
      <w:pPr>
        <w:tabs>
          <w:tab w:val="center" w:pos="5400"/>
        </w:tabs>
        <w:suppressAutoHyphens/>
        <w:spacing w:line="276" w:lineRule="auto"/>
        <w:jc w:val="center"/>
        <w:rPr>
          <w:rFonts w:asciiTheme="majorHAnsi" w:hAnsiTheme="majorHAnsi"/>
          <w:sz w:val="18"/>
          <w:szCs w:val="20"/>
          <w:lang w:val="es-BO"/>
        </w:rPr>
      </w:pPr>
      <w:r w:rsidRPr="00085D81">
        <w:rPr>
          <w:rFonts w:asciiTheme="majorHAnsi" w:hAnsiTheme="majorHAnsi"/>
          <w:sz w:val="18"/>
          <w:szCs w:val="20"/>
          <w:lang w:val="es-BO"/>
        </w:rPr>
        <w:t>COLOMBIA</w:t>
      </w:r>
      <w:r w:rsidRPr="006F267A">
        <w:rPr>
          <w:rFonts w:asciiTheme="majorHAnsi" w:hAnsiTheme="majorHAnsi"/>
          <w:sz w:val="18"/>
          <w:szCs w:val="20"/>
          <w:vertAlign w:val="superscript"/>
        </w:rPr>
        <w:footnoteReference w:id="3"/>
      </w:r>
    </w:p>
    <w:p w:rsidR="009C7FD6" w:rsidRPr="006F267A" w:rsidRDefault="00231860" w:rsidP="009C7FD6">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MAY 25, 2017</w:t>
      </w:r>
    </w:p>
    <w:p w:rsidR="00FC3EB4" w:rsidRPr="006F267A" w:rsidRDefault="00FC3EB4" w:rsidP="00231860">
      <w:pPr>
        <w:tabs>
          <w:tab w:val="center" w:pos="5400"/>
        </w:tabs>
        <w:suppressAutoHyphens/>
        <w:spacing w:line="276" w:lineRule="auto"/>
        <w:rPr>
          <w:rFonts w:asciiTheme="majorHAnsi" w:hAnsiTheme="majorHAnsi"/>
          <w:b/>
          <w:szCs w:val="20"/>
        </w:rPr>
      </w:pPr>
    </w:p>
    <w:p w:rsidR="009C7FD6" w:rsidRPr="006F267A" w:rsidRDefault="009C7FD6" w:rsidP="009C7FD6">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6F267A">
        <w:rPr>
          <w:rFonts w:asciiTheme="majorHAnsi" w:hAnsiTheme="majorHAnsi"/>
          <w:b/>
          <w:bCs/>
          <w:sz w:val="20"/>
          <w:szCs w:val="20"/>
        </w:rPr>
        <w:t>I.</w:t>
      </w:r>
      <w:r w:rsidRPr="006F267A">
        <w:rPr>
          <w:rFonts w:asciiTheme="majorHAnsi" w:hAnsiTheme="majorHAnsi"/>
          <w:b/>
          <w:bCs/>
          <w:sz w:val="20"/>
          <w:szCs w:val="20"/>
        </w:rPr>
        <w:tab/>
      </w:r>
      <w:r w:rsidRPr="006F267A">
        <w:rPr>
          <w:rFonts w:ascii="Cambria" w:hAnsi="Cambria"/>
          <w:b/>
          <w:bCs/>
          <w:sz w:val="20"/>
          <w:szCs w:val="20"/>
        </w:rPr>
        <w:t xml:space="preserve">INFORMATION ABOUT THE PETITION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680"/>
        <w:gridCol w:w="4680"/>
      </w:tblGrid>
      <w:tr w:rsidR="009C7FD6" w:rsidRPr="0069360C" w:rsidTr="00926ECD">
        <w:tc>
          <w:tcPr>
            <w:tcW w:w="4680" w:type="dxa"/>
            <w:tcBorders>
              <w:top w:val="single" w:sz="4" w:space="0" w:color="auto"/>
            </w:tcBorders>
            <w:shd w:val="clear" w:color="auto" w:fill="67AE3C"/>
            <w:vAlign w:val="center"/>
          </w:tcPr>
          <w:p w:rsidR="009C7FD6" w:rsidRPr="006F267A" w:rsidRDefault="009C7FD6" w:rsidP="00141D8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6F267A">
              <w:rPr>
                <w:rFonts w:ascii="Cambria" w:hAnsi="Cambria"/>
                <w:b/>
                <w:bCs/>
                <w:color w:val="FFFFFF"/>
                <w:sz w:val="20"/>
                <w:szCs w:val="20"/>
              </w:rPr>
              <w:t>Petitioner</w:t>
            </w:r>
          </w:p>
        </w:tc>
        <w:tc>
          <w:tcPr>
            <w:tcW w:w="4680" w:type="dxa"/>
            <w:tcBorders>
              <w:top w:val="single" w:sz="4" w:space="0" w:color="auto"/>
            </w:tcBorders>
            <w:vAlign w:val="center"/>
          </w:tcPr>
          <w:p w:rsidR="009C7FD6" w:rsidRPr="0069360C" w:rsidRDefault="0069360C" w:rsidP="00141D8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69360C">
              <w:rPr>
                <w:rFonts w:ascii="Cambria" w:hAnsi="Cambria"/>
                <w:bCs/>
                <w:i/>
                <w:sz w:val="20"/>
                <w:szCs w:val="20"/>
                <w:lang w:val="es-ES"/>
              </w:rPr>
              <w:t>Corporación Jurídica Libertad</w:t>
            </w:r>
            <w:r w:rsidRPr="0069360C">
              <w:rPr>
                <w:rFonts w:ascii="Cambria" w:hAnsi="Cambria"/>
                <w:bCs/>
                <w:sz w:val="20"/>
                <w:szCs w:val="20"/>
                <w:lang w:val="es-ES"/>
              </w:rPr>
              <w:t xml:space="preserve"> NGO</w:t>
            </w:r>
          </w:p>
        </w:tc>
      </w:tr>
      <w:tr w:rsidR="009C7FD6" w:rsidRPr="006F267A" w:rsidTr="00926ECD">
        <w:tc>
          <w:tcPr>
            <w:tcW w:w="4680" w:type="dxa"/>
            <w:shd w:val="clear" w:color="auto" w:fill="67AE3C"/>
            <w:vAlign w:val="center"/>
          </w:tcPr>
          <w:p w:rsidR="009C7FD6" w:rsidRPr="006F267A" w:rsidRDefault="009C7FD6" w:rsidP="00141D8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6F267A">
              <w:rPr>
                <w:rFonts w:ascii="Cambria" w:hAnsi="Cambria"/>
                <w:b/>
                <w:bCs/>
                <w:color w:val="FFFFFF"/>
                <w:sz w:val="20"/>
                <w:szCs w:val="20"/>
              </w:rPr>
              <w:t xml:space="preserve">Alleged </w:t>
            </w:r>
            <w:r w:rsidR="0069360C">
              <w:rPr>
                <w:rFonts w:ascii="Cambria" w:hAnsi="Cambria"/>
                <w:b/>
                <w:bCs/>
                <w:color w:val="FFFFFF"/>
                <w:sz w:val="20"/>
                <w:szCs w:val="20"/>
              </w:rPr>
              <w:t>victim</w:t>
            </w:r>
            <w:r w:rsidRPr="006F267A">
              <w:rPr>
                <w:rFonts w:ascii="Cambria" w:hAnsi="Cambria"/>
                <w:b/>
                <w:bCs/>
                <w:color w:val="FFFFFF"/>
                <w:sz w:val="20"/>
                <w:szCs w:val="20"/>
              </w:rPr>
              <w:t>:</w:t>
            </w:r>
          </w:p>
        </w:tc>
        <w:tc>
          <w:tcPr>
            <w:tcW w:w="4680" w:type="dxa"/>
            <w:vAlign w:val="center"/>
          </w:tcPr>
          <w:p w:rsidR="009C7FD6" w:rsidRPr="006F267A" w:rsidRDefault="0069360C" w:rsidP="00141D8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bCs/>
                <w:sz w:val="20"/>
                <w:szCs w:val="20"/>
              </w:rPr>
              <w:t xml:space="preserve">José Ruperto Agudelo </w:t>
            </w:r>
            <w:r w:rsidR="00183D64">
              <w:rPr>
                <w:rFonts w:ascii="Cambria" w:hAnsi="Cambria"/>
                <w:bCs/>
                <w:sz w:val="20"/>
                <w:szCs w:val="20"/>
              </w:rPr>
              <w:t xml:space="preserve"> Ciro </w:t>
            </w:r>
            <w:r>
              <w:rPr>
                <w:rFonts w:ascii="Cambria" w:hAnsi="Cambria"/>
                <w:bCs/>
                <w:sz w:val="20"/>
                <w:szCs w:val="20"/>
              </w:rPr>
              <w:t>and family</w:t>
            </w:r>
          </w:p>
        </w:tc>
      </w:tr>
      <w:tr w:rsidR="009C7FD6" w:rsidRPr="006F267A" w:rsidTr="00926ECD">
        <w:tc>
          <w:tcPr>
            <w:tcW w:w="4680" w:type="dxa"/>
            <w:shd w:val="clear" w:color="auto" w:fill="67AE3C"/>
            <w:vAlign w:val="center"/>
          </w:tcPr>
          <w:p w:rsidR="009C7FD6" w:rsidRPr="006F267A" w:rsidRDefault="009C7FD6" w:rsidP="00141D8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6F267A">
              <w:rPr>
                <w:rFonts w:ascii="Cambria" w:hAnsi="Cambria"/>
                <w:b/>
                <w:bCs/>
                <w:color w:val="FFFFFF"/>
                <w:sz w:val="20"/>
                <w:szCs w:val="20"/>
              </w:rPr>
              <w:t>State denounced:</w:t>
            </w:r>
          </w:p>
        </w:tc>
        <w:tc>
          <w:tcPr>
            <w:tcW w:w="4680" w:type="dxa"/>
            <w:vAlign w:val="center"/>
          </w:tcPr>
          <w:p w:rsidR="009C7FD6" w:rsidRPr="006F267A" w:rsidRDefault="009C7FD6" w:rsidP="00141D8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6F267A">
              <w:rPr>
                <w:rFonts w:ascii="Cambria" w:hAnsi="Cambria"/>
                <w:bCs/>
                <w:sz w:val="20"/>
                <w:szCs w:val="20"/>
              </w:rPr>
              <w:t>Colombia</w:t>
            </w:r>
          </w:p>
        </w:tc>
      </w:tr>
      <w:tr w:rsidR="009C7FD6" w:rsidRPr="006F267A" w:rsidTr="00926ECD">
        <w:tc>
          <w:tcPr>
            <w:tcW w:w="4680" w:type="dxa"/>
            <w:tcBorders>
              <w:bottom w:val="single" w:sz="4" w:space="0" w:color="auto"/>
            </w:tcBorders>
            <w:shd w:val="clear" w:color="auto" w:fill="67AE3C"/>
            <w:vAlign w:val="center"/>
          </w:tcPr>
          <w:p w:rsidR="009C7FD6" w:rsidRPr="006F267A" w:rsidRDefault="009C7FD6" w:rsidP="009C7FD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6F267A">
              <w:rPr>
                <w:rFonts w:ascii="Cambria" w:hAnsi="Cambria"/>
                <w:b/>
                <w:bCs/>
                <w:color w:val="FFFFFF"/>
                <w:sz w:val="20"/>
                <w:szCs w:val="20"/>
              </w:rPr>
              <w:t>Rights invoked:</w:t>
            </w:r>
          </w:p>
        </w:tc>
        <w:tc>
          <w:tcPr>
            <w:tcW w:w="4680" w:type="dxa"/>
            <w:tcBorders>
              <w:bottom w:val="single" w:sz="4" w:space="0" w:color="auto"/>
            </w:tcBorders>
            <w:vAlign w:val="center"/>
          </w:tcPr>
          <w:p w:rsidR="009C7FD6" w:rsidRPr="006F267A" w:rsidRDefault="00191AC5" w:rsidP="00AE5B6A">
            <w:pPr>
              <w:jc w:val="both"/>
              <w:rPr>
                <w:rFonts w:ascii="Cambria" w:hAnsi="Cambria"/>
                <w:bCs/>
                <w:sz w:val="20"/>
                <w:szCs w:val="20"/>
              </w:rPr>
            </w:pPr>
            <w:r w:rsidRPr="006F267A">
              <w:rPr>
                <w:rFonts w:ascii="Cambria" w:hAnsi="Cambria"/>
                <w:bCs/>
                <w:sz w:val="20"/>
                <w:szCs w:val="20"/>
              </w:rPr>
              <w:t xml:space="preserve">Articles </w:t>
            </w:r>
            <w:r w:rsidR="009C7FD6" w:rsidRPr="006F267A">
              <w:rPr>
                <w:rFonts w:ascii="Cambria" w:hAnsi="Cambria"/>
                <w:bCs/>
                <w:sz w:val="20"/>
                <w:szCs w:val="20"/>
              </w:rPr>
              <w:t>1 (</w:t>
            </w:r>
            <w:r w:rsidRPr="006F267A">
              <w:rPr>
                <w:rFonts w:ascii="Cambria" w:hAnsi="Cambria"/>
                <w:bCs/>
                <w:sz w:val="20"/>
                <w:szCs w:val="20"/>
              </w:rPr>
              <w:t>Obligation to Respect Rights</w:t>
            </w:r>
            <w:r w:rsidR="009C7FD6" w:rsidRPr="006F267A">
              <w:rPr>
                <w:rFonts w:ascii="Cambria" w:hAnsi="Cambria"/>
                <w:bCs/>
                <w:sz w:val="20"/>
                <w:szCs w:val="20"/>
              </w:rPr>
              <w:t>), 3 (</w:t>
            </w:r>
            <w:r w:rsidR="0069360C">
              <w:rPr>
                <w:rFonts w:ascii="Cambria" w:hAnsi="Cambria"/>
                <w:bCs/>
                <w:sz w:val="20"/>
                <w:szCs w:val="20"/>
              </w:rPr>
              <w:t>Right to Juridical Personality</w:t>
            </w:r>
            <w:r w:rsidR="009C7FD6" w:rsidRPr="006F267A">
              <w:rPr>
                <w:rFonts w:ascii="Cambria" w:hAnsi="Cambria"/>
                <w:bCs/>
                <w:sz w:val="20"/>
                <w:szCs w:val="20"/>
              </w:rPr>
              <w:t>), 4 (</w:t>
            </w:r>
            <w:r w:rsidR="0069360C">
              <w:rPr>
                <w:rFonts w:ascii="Cambria" w:hAnsi="Cambria"/>
                <w:bCs/>
                <w:sz w:val="20"/>
                <w:szCs w:val="20"/>
              </w:rPr>
              <w:t>Right to Life</w:t>
            </w:r>
            <w:r w:rsidR="009C7FD6" w:rsidRPr="006F267A">
              <w:rPr>
                <w:rFonts w:ascii="Cambria" w:hAnsi="Cambria"/>
                <w:bCs/>
                <w:sz w:val="20"/>
                <w:szCs w:val="20"/>
              </w:rPr>
              <w:t>), 5 (</w:t>
            </w:r>
            <w:r w:rsidR="00AE5B6A">
              <w:rPr>
                <w:rFonts w:ascii="Cambria" w:hAnsi="Cambria"/>
                <w:bCs/>
                <w:sz w:val="20"/>
                <w:szCs w:val="20"/>
              </w:rPr>
              <w:t>Right to personal integrity</w:t>
            </w:r>
            <w:r w:rsidR="009C7FD6" w:rsidRPr="006F267A">
              <w:rPr>
                <w:rFonts w:ascii="Cambria" w:hAnsi="Cambria"/>
                <w:bCs/>
                <w:sz w:val="20"/>
                <w:szCs w:val="20"/>
              </w:rPr>
              <w:t>), 7 (</w:t>
            </w:r>
            <w:r w:rsidRPr="006F267A">
              <w:rPr>
                <w:rFonts w:ascii="Cambria" w:hAnsi="Cambria"/>
                <w:bCs/>
                <w:sz w:val="20"/>
                <w:szCs w:val="20"/>
              </w:rPr>
              <w:t>Right to Personal Liberty</w:t>
            </w:r>
            <w:r w:rsidR="009C7FD6" w:rsidRPr="006F267A">
              <w:rPr>
                <w:rFonts w:ascii="Cambria" w:hAnsi="Cambria"/>
                <w:bCs/>
                <w:sz w:val="20"/>
                <w:szCs w:val="20"/>
              </w:rPr>
              <w:t xml:space="preserve">), </w:t>
            </w:r>
            <w:r w:rsidR="009C7FD6" w:rsidRPr="006F267A">
              <w:rPr>
                <w:rFonts w:ascii="Cambria" w:hAnsi="Cambria"/>
                <w:sz w:val="20"/>
                <w:szCs w:val="20"/>
                <w:bdr w:val="none" w:sz="0" w:space="0" w:color="auto" w:frame="1"/>
              </w:rPr>
              <w:t>8 (</w:t>
            </w:r>
            <w:r w:rsidRPr="006F267A">
              <w:rPr>
                <w:rFonts w:ascii="Cambria" w:hAnsi="Cambria"/>
                <w:sz w:val="20"/>
                <w:szCs w:val="20"/>
                <w:bdr w:val="none" w:sz="0" w:space="0" w:color="auto" w:frame="1"/>
              </w:rPr>
              <w:t>Right to a Fair Trial</w:t>
            </w:r>
            <w:r w:rsidR="009C7FD6" w:rsidRPr="006F267A">
              <w:rPr>
                <w:rFonts w:ascii="Cambria" w:hAnsi="Cambria"/>
                <w:sz w:val="20"/>
                <w:szCs w:val="20"/>
                <w:bdr w:val="none" w:sz="0" w:space="0" w:color="auto" w:frame="1"/>
              </w:rPr>
              <w:t>), 11 (</w:t>
            </w:r>
            <w:r w:rsidRPr="006F267A">
              <w:rPr>
                <w:rFonts w:ascii="Cambria" w:hAnsi="Cambria"/>
                <w:sz w:val="20"/>
                <w:szCs w:val="20"/>
                <w:bdr w:val="none" w:sz="0" w:space="0" w:color="auto" w:frame="1"/>
              </w:rPr>
              <w:t>protection of honor and dignity</w:t>
            </w:r>
            <w:r w:rsidR="009C7FD6" w:rsidRPr="006F267A">
              <w:rPr>
                <w:rFonts w:ascii="Cambria" w:hAnsi="Cambria"/>
                <w:sz w:val="20"/>
                <w:szCs w:val="20"/>
                <w:bdr w:val="none" w:sz="0" w:space="0" w:color="auto" w:frame="1"/>
              </w:rPr>
              <w:t>), 17 (</w:t>
            </w:r>
            <w:r w:rsidRPr="006F267A">
              <w:rPr>
                <w:rFonts w:ascii="Cambria" w:hAnsi="Cambria"/>
                <w:sz w:val="20"/>
                <w:szCs w:val="20"/>
                <w:bdr w:val="none" w:sz="0" w:space="0" w:color="auto" w:frame="1"/>
              </w:rPr>
              <w:t>Rights of the Family</w:t>
            </w:r>
            <w:r w:rsidR="009C7FD6" w:rsidRPr="006F267A">
              <w:rPr>
                <w:rFonts w:ascii="Cambria" w:hAnsi="Cambria"/>
                <w:sz w:val="20"/>
                <w:szCs w:val="20"/>
                <w:bdr w:val="none" w:sz="0" w:space="0" w:color="auto" w:frame="1"/>
              </w:rPr>
              <w:t xml:space="preserve">) </w:t>
            </w:r>
            <w:r w:rsidRPr="006F267A">
              <w:rPr>
                <w:rFonts w:ascii="Cambria" w:hAnsi="Cambria"/>
                <w:sz w:val="20"/>
                <w:szCs w:val="20"/>
                <w:bdr w:val="none" w:sz="0" w:space="0" w:color="auto" w:frame="1"/>
              </w:rPr>
              <w:t xml:space="preserve">and </w:t>
            </w:r>
            <w:r w:rsidR="009C7FD6" w:rsidRPr="006F267A">
              <w:rPr>
                <w:rFonts w:ascii="Cambria" w:hAnsi="Cambria"/>
                <w:sz w:val="20"/>
                <w:szCs w:val="20"/>
                <w:bdr w:val="none" w:sz="0" w:space="0" w:color="auto" w:frame="1"/>
              </w:rPr>
              <w:t>25 (</w:t>
            </w:r>
            <w:r w:rsidR="00757EB0">
              <w:rPr>
                <w:rFonts w:ascii="Cambria" w:hAnsi="Cambria"/>
                <w:sz w:val="20"/>
                <w:szCs w:val="20"/>
                <w:bdr w:val="none" w:sz="0" w:space="0" w:color="auto" w:frame="1"/>
              </w:rPr>
              <w:t>Right to Judicial Protection</w:t>
            </w:r>
            <w:r w:rsidR="009C7FD6" w:rsidRPr="006F267A">
              <w:rPr>
                <w:rFonts w:ascii="Cambria" w:hAnsi="Cambria"/>
                <w:sz w:val="20"/>
                <w:szCs w:val="20"/>
                <w:bdr w:val="none" w:sz="0" w:space="0" w:color="auto" w:frame="1"/>
              </w:rPr>
              <w:t xml:space="preserve">) </w:t>
            </w:r>
            <w:r w:rsidRPr="006F267A">
              <w:rPr>
                <w:rFonts w:ascii="Cambria" w:hAnsi="Cambria"/>
                <w:sz w:val="20"/>
                <w:szCs w:val="20"/>
                <w:bdr w:val="none" w:sz="0" w:space="0" w:color="auto" w:frame="1"/>
              </w:rPr>
              <w:t xml:space="preserve">of the American Convention </w:t>
            </w:r>
            <w:r w:rsidRPr="006F267A">
              <w:rPr>
                <w:rFonts w:ascii="Cambria" w:hAnsi="Cambria"/>
                <w:bCs/>
                <w:sz w:val="20"/>
                <w:szCs w:val="20"/>
                <w:bdr w:val="none" w:sz="0" w:space="0" w:color="auto" w:frame="1"/>
              </w:rPr>
              <w:t>on Human Rights</w:t>
            </w:r>
            <w:r w:rsidR="009C7FD6" w:rsidRPr="006F267A">
              <w:rPr>
                <w:rStyle w:val="FootnoteReference"/>
                <w:rFonts w:ascii="Cambria" w:hAnsi="Cambria"/>
                <w:bCs/>
                <w:sz w:val="20"/>
                <w:szCs w:val="20"/>
                <w:bdr w:val="none" w:sz="0" w:space="0" w:color="auto" w:frame="1"/>
              </w:rPr>
              <w:footnoteReference w:id="4"/>
            </w:r>
          </w:p>
        </w:tc>
      </w:tr>
    </w:tbl>
    <w:p w:rsidR="00FB76F9" w:rsidRPr="006F267A" w:rsidRDefault="009C7FD6" w:rsidP="00FB76F9">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6F267A">
        <w:rPr>
          <w:rFonts w:asciiTheme="majorHAnsi" w:hAnsiTheme="majorHAnsi"/>
          <w:b/>
          <w:bCs/>
          <w:sz w:val="20"/>
          <w:szCs w:val="20"/>
        </w:rPr>
        <w:t>II.</w:t>
      </w:r>
      <w:r w:rsidRPr="006F267A">
        <w:rPr>
          <w:rFonts w:asciiTheme="majorHAnsi" w:hAnsiTheme="majorHAnsi"/>
          <w:b/>
          <w:bCs/>
          <w:sz w:val="20"/>
          <w:szCs w:val="20"/>
        </w:rPr>
        <w:tab/>
      </w:r>
      <w:r w:rsidR="00757EB0">
        <w:rPr>
          <w:rFonts w:asciiTheme="majorHAnsi" w:hAnsiTheme="majorHAnsi"/>
          <w:b/>
          <w:bCs/>
          <w:sz w:val="20"/>
          <w:szCs w:val="20"/>
        </w:rPr>
        <w:t>PROCEDURE BEFORE THE IACHR</w:t>
      </w:r>
      <w:r w:rsidRPr="006F267A">
        <w:rPr>
          <w:rFonts w:ascii="Cambria" w:hAnsi="Cambria"/>
          <w:b/>
          <w:sz w:val="20"/>
          <w:szCs w:val="20"/>
          <w:vertAlign w:val="superscript"/>
        </w:rPr>
        <w:footnoteReference w:id="5"/>
      </w:r>
      <w:r w:rsidR="00FB76F9" w:rsidRPr="006F267A">
        <w:rPr>
          <w:rFonts w:ascii="Cambria" w:hAnsi="Cambria"/>
          <w:b/>
          <w:bCs/>
          <w:sz w:val="20"/>
          <w:szCs w:val="20"/>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680"/>
        <w:gridCol w:w="4680"/>
      </w:tblGrid>
      <w:tr w:rsidR="00FB76F9" w:rsidRPr="006F267A" w:rsidTr="00926ECD">
        <w:tc>
          <w:tcPr>
            <w:tcW w:w="4680" w:type="dxa"/>
            <w:tcBorders>
              <w:top w:val="single" w:sz="4" w:space="0" w:color="auto"/>
            </w:tcBorders>
            <w:shd w:val="clear" w:color="auto" w:fill="67AE3C"/>
            <w:vAlign w:val="center"/>
          </w:tcPr>
          <w:p w:rsidR="00FB76F9" w:rsidRPr="006F267A" w:rsidRDefault="00FB76F9" w:rsidP="00141D8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6F267A">
              <w:rPr>
                <w:rFonts w:ascii="Cambria" w:hAnsi="Cambria"/>
                <w:b/>
                <w:color w:val="FFFFFF"/>
                <w:sz w:val="20"/>
                <w:szCs w:val="20"/>
              </w:rPr>
              <w:t>Date on which the petition was received</w:t>
            </w:r>
            <w:r w:rsidRPr="006F267A">
              <w:rPr>
                <w:rFonts w:ascii="Cambria" w:hAnsi="Cambria"/>
                <w:b/>
                <w:bCs/>
                <w:color w:val="FFFFFF"/>
                <w:sz w:val="20"/>
                <w:szCs w:val="20"/>
              </w:rPr>
              <w:t>:</w:t>
            </w:r>
          </w:p>
        </w:tc>
        <w:tc>
          <w:tcPr>
            <w:tcW w:w="4680" w:type="dxa"/>
            <w:tcBorders>
              <w:top w:val="single" w:sz="4" w:space="0" w:color="auto"/>
            </w:tcBorders>
            <w:vAlign w:val="center"/>
          </w:tcPr>
          <w:p w:rsidR="00FB76F9" w:rsidRPr="006F267A" w:rsidRDefault="00757EB0" w:rsidP="00141D8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bCs/>
                <w:sz w:val="20"/>
                <w:szCs w:val="20"/>
              </w:rPr>
              <w:t>March 31</w:t>
            </w:r>
            <w:r w:rsidRPr="00757EB0">
              <w:rPr>
                <w:rFonts w:ascii="Cambria" w:hAnsi="Cambria"/>
                <w:bCs/>
                <w:sz w:val="20"/>
                <w:szCs w:val="20"/>
                <w:vertAlign w:val="superscript"/>
              </w:rPr>
              <w:t>st</w:t>
            </w:r>
            <w:r>
              <w:rPr>
                <w:rFonts w:ascii="Cambria" w:hAnsi="Cambria"/>
                <w:bCs/>
                <w:sz w:val="20"/>
                <w:szCs w:val="20"/>
              </w:rPr>
              <w:t xml:space="preserve"> 2010</w:t>
            </w:r>
          </w:p>
        </w:tc>
      </w:tr>
      <w:tr w:rsidR="00FB76F9" w:rsidRPr="006F267A" w:rsidTr="00926ECD">
        <w:tc>
          <w:tcPr>
            <w:tcW w:w="4680" w:type="dxa"/>
            <w:shd w:val="clear" w:color="auto" w:fill="67AE3C"/>
            <w:vAlign w:val="center"/>
          </w:tcPr>
          <w:p w:rsidR="00FB76F9" w:rsidRPr="006F267A" w:rsidRDefault="00757EB0" w:rsidP="00757EB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Pr>
                <w:rFonts w:ascii="Cambria" w:hAnsi="Cambria"/>
                <w:b/>
                <w:color w:val="FFFFFF" w:themeColor="background1"/>
                <w:sz w:val="20"/>
                <w:szCs w:val="20"/>
              </w:rPr>
              <w:t>Date on which the petition was transmitted to the State</w:t>
            </w:r>
            <w:r w:rsidR="004525FB" w:rsidRPr="006F267A">
              <w:rPr>
                <w:rFonts w:ascii="Cambria" w:hAnsi="Cambria"/>
                <w:b/>
                <w:color w:val="FFFFFF" w:themeColor="background1"/>
                <w:sz w:val="20"/>
                <w:szCs w:val="20"/>
                <w:vertAlign w:val="superscript"/>
              </w:rPr>
              <w:footnoteReference w:id="6"/>
            </w:r>
            <w:r w:rsidR="00FB76F9" w:rsidRPr="006F267A">
              <w:rPr>
                <w:rFonts w:ascii="Cambria" w:hAnsi="Cambria"/>
                <w:b/>
                <w:color w:val="FFFFFF"/>
                <w:sz w:val="20"/>
                <w:szCs w:val="20"/>
              </w:rPr>
              <w:t>:</w:t>
            </w:r>
          </w:p>
        </w:tc>
        <w:tc>
          <w:tcPr>
            <w:tcW w:w="4680" w:type="dxa"/>
            <w:vAlign w:val="center"/>
          </w:tcPr>
          <w:p w:rsidR="00FB76F9" w:rsidRPr="006F267A" w:rsidRDefault="00757EB0" w:rsidP="00141D8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bCs/>
                <w:sz w:val="20"/>
                <w:szCs w:val="20"/>
              </w:rPr>
              <w:t>2</w:t>
            </w:r>
            <w:r w:rsidRPr="00757EB0">
              <w:rPr>
                <w:rFonts w:ascii="Cambria" w:hAnsi="Cambria"/>
                <w:bCs/>
                <w:sz w:val="20"/>
                <w:szCs w:val="20"/>
                <w:vertAlign w:val="superscript"/>
              </w:rPr>
              <w:t>nd</w:t>
            </w:r>
            <w:r>
              <w:rPr>
                <w:rFonts w:ascii="Cambria" w:hAnsi="Cambria"/>
                <w:bCs/>
                <w:sz w:val="20"/>
                <w:szCs w:val="20"/>
              </w:rPr>
              <w:t xml:space="preserve"> August 2010</w:t>
            </w:r>
          </w:p>
        </w:tc>
      </w:tr>
      <w:tr w:rsidR="00FB76F9" w:rsidRPr="006F267A" w:rsidTr="00926ECD">
        <w:tc>
          <w:tcPr>
            <w:tcW w:w="4680" w:type="dxa"/>
            <w:shd w:val="clear" w:color="auto" w:fill="67AE3C"/>
            <w:vAlign w:val="center"/>
          </w:tcPr>
          <w:p w:rsidR="00FB76F9" w:rsidRPr="006F267A" w:rsidRDefault="00FB76F9" w:rsidP="00141D8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6F267A">
              <w:rPr>
                <w:rFonts w:ascii="Cambria" w:hAnsi="Cambria"/>
                <w:b/>
                <w:color w:val="FFFFFF"/>
                <w:sz w:val="20"/>
                <w:szCs w:val="20"/>
              </w:rPr>
              <w:t>Date of the State’s first response:</w:t>
            </w:r>
          </w:p>
        </w:tc>
        <w:tc>
          <w:tcPr>
            <w:tcW w:w="4680" w:type="dxa"/>
            <w:vAlign w:val="center"/>
          </w:tcPr>
          <w:p w:rsidR="00FB76F9" w:rsidRPr="006F267A" w:rsidRDefault="00757EB0" w:rsidP="00141D8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bCs/>
                <w:sz w:val="20"/>
                <w:szCs w:val="20"/>
              </w:rPr>
              <w:t>February 10</w:t>
            </w:r>
            <w:r w:rsidRPr="00757EB0">
              <w:rPr>
                <w:rFonts w:ascii="Cambria" w:hAnsi="Cambria"/>
                <w:bCs/>
                <w:sz w:val="20"/>
                <w:szCs w:val="20"/>
                <w:vertAlign w:val="superscript"/>
              </w:rPr>
              <w:t>th</w:t>
            </w:r>
            <w:r>
              <w:rPr>
                <w:rFonts w:ascii="Cambria" w:hAnsi="Cambria"/>
                <w:bCs/>
                <w:sz w:val="20"/>
                <w:szCs w:val="20"/>
              </w:rPr>
              <w:t xml:space="preserve"> 2011</w:t>
            </w:r>
          </w:p>
        </w:tc>
      </w:tr>
      <w:tr w:rsidR="00FB76F9" w:rsidRPr="006F267A" w:rsidTr="00926ECD">
        <w:tc>
          <w:tcPr>
            <w:tcW w:w="4680" w:type="dxa"/>
            <w:shd w:val="clear" w:color="auto" w:fill="67AE3C"/>
            <w:vAlign w:val="center"/>
          </w:tcPr>
          <w:p w:rsidR="00FB76F9" w:rsidRPr="006F267A" w:rsidRDefault="00FB76F9" w:rsidP="00141D8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6F267A">
              <w:rPr>
                <w:rFonts w:ascii="Cambria" w:hAnsi="Cambria"/>
                <w:b/>
                <w:color w:val="FFFFFF"/>
                <w:sz w:val="20"/>
                <w:szCs w:val="20"/>
              </w:rPr>
              <w:t>Additional observations from the petitioner</w:t>
            </w:r>
            <w:r w:rsidRPr="006F267A">
              <w:rPr>
                <w:rFonts w:ascii="Cambria" w:hAnsi="Cambria"/>
                <w:b/>
                <w:bCs/>
                <w:color w:val="FFFFFF"/>
                <w:sz w:val="20"/>
                <w:szCs w:val="20"/>
              </w:rPr>
              <w:t>:</w:t>
            </w:r>
          </w:p>
        </w:tc>
        <w:tc>
          <w:tcPr>
            <w:tcW w:w="4680" w:type="dxa"/>
            <w:vAlign w:val="center"/>
          </w:tcPr>
          <w:p w:rsidR="00FB76F9" w:rsidRPr="006F267A" w:rsidRDefault="00757EB0" w:rsidP="00141D8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bCs/>
                <w:sz w:val="20"/>
                <w:szCs w:val="20"/>
              </w:rPr>
              <w:t>May 18</w:t>
            </w:r>
            <w:r w:rsidRPr="00757EB0">
              <w:rPr>
                <w:rFonts w:ascii="Cambria" w:hAnsi="Cambria"/>
                <w:bCs/>
                <w:sz w:val="20"/>
                <w:szCs w:val="20"/>
                <w:vertAlign w:val="superscript"/>
              </w:rPr>
              <w:t>th</w:t>
            </w:r>
            <w:r>
              <w:rPr>
                <w:rFonts w:ascii="Cambria" w:hAnsi="Cambria"/>
                <w:bCs/>
                <w:sz w:val="20"/>
                <w:szCs w:val="20"/>
              </w:rPr>
              <w:t xml:space="preserve"> 2012 and September 16</w:t>
            </w:r>
            <w:r w:rsidRPr="00757EB0">
              <w:rPr>
                <w:rFonts w:ascii="Cambria" w:hAnsi="Cambria"/>
                <w:bCs/>
                <w:sz w:val="20"/>
                <w:szCs w:val="20"/>
                <w:vertAlign w:val="superscript"/>
              </w:rPr>
              <w:t>th</w:t>
            </w:r>
            <w:r>
              <w:rPr>
                <w:rFonts w:ascii="Cambria" w:hAnsi="Cambria"/>
                <w:bCs/>
                <w:sz w:val="20"/>
                <w:szCs w:val="20"/>
              </w:rPr>
              <w:t xml:space="preserve"> 2015</w:t>
            </w:r>
          </w:p>
        </w:tc>
      </w:tr>
      <w:tr w:rsidR="00FB76F9" w:rsidRPr="006F267A" w:rsidTr="00926ECD">
        <w:tc>
          <w:tcPr>
            <w:tcW w:w="4680" w:type="dxa"/>
            <w:tcBorders>
              <w:bottom w:val="single" w:sz="4" w:space="0" w:color="auto"/>
            </w:tcBorders>
            <w:shd w:val="clear" w:color="auto" w:fill="67AE3C"/>
            <w:vAlign w:val="center"/>
          </w:tcPr>
          <w:p w:rsidR="00FB76F9" w:rsidRPr="006F267A" w:rsidRDefault="00FB76F9" w:rsidP="00141D8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6F267A">
              <w:rPr>
                <w:rFonts w:ascii="Cambria" w:hAnsi="Cambria"/>
                <w:b/>
                <w:color w:val="FFFFFF"/>
                <w:sz w:val="20"/>
                <w:szCs w:val="20"/>
              </w:rPr>
              <w:t>Additional observations from the State</w:t>
            </w:r>
            <w:r w:rsidRPr="006F267A">
              <w:rPr>
                <w:rFonts w:ascii="Cambria" w:hAnsi="Cambria"/>
                <w:b/>
                <w:bCs/>
                <w:color w:val="FFFFFF"/>
                <w:sz w:val="20"/>
                <w:szCs w:val="20"/>
              </w:rPr>
              <w:t>:</w:t>
            </w:r>
          </w:p>
        </w:tc>
        <w:tc>
          <w:tcPr>
            <w:tcW w:w="4680" w:type="dxa"/>
            <w:tcBorders>
              <w:bottom w:val="single" w:sz="4" w:space="0" w:color="auto"/>
            </w:tcBorders>
            <w:vAlign w:val="center"/>
          </w:tcPr>
          <w:p w:rsidR="00FB76F9" w:rsidRPr="006F267A" w:rsidRDefault="00757EB0" w:rsidP="00141D8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bCs/>
                <w:sz w:val="20"/>
                <w:szCs w:val="20"/>
              </w:rPr>
              <w:t>September 27</w:t>
            </w:r>
            <w:r w:rsidRPr="00757EB0">
              <w:rPr>
                <w:rFonts w:ascii="Cambria" w:hAnsi="Cambria"/>
                <w:bCs/>
                <w:sz w:val="20"/>
                <w:szCs w:val="20"/>
                <w:vertAlign w:val="superscript"/>
              </w:rPr>
              <w:t>th</w:t>
            </w:r>
            <w:r>
              <w:rPr>
                <w:rFonts w:ascii="Cambria" w:hAnsi="Cambria"/>
                <w:bCs/>
                <w:sz w:val="20"/>
                <w:szCs w:val="20"/>
              </w:rPr>
              <w:t xml:space="preserve"> 2012</w:t>
            </w:r>
          </w:p>
        </w:tc>
      </w:tr>
    </w:tbl>
    <w:p w:rsidR="00CE4BFB" w:rsidRPr="006F267A" w:rsidRDefault="00CE4BFB" w:rsidP="00FB76F9">
      <w:pPr>
        <w:spacing w:after="240"/>
        <w:ind w:firstLine="720"/>
        <w:jc w:val="both"/>
        <w:rPr>
          <w:rFonts w:asciiTheme="majorHAnsi" w:hAnsiTheme="majorHAnsi"/>
          <w:b/>
          <w:bCs/>
          <w:sz w:val="20"/>
          <w:szCs w:val="20"/>
        </w:rPr>
      </w:pPr>
    </w:p>
    <w:p w:rsidR="006D79AA" w:rsidRPr="006F267A" w:rsidRDefault="009C7FD6" w:rsidP="006D79AA">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6F267A">
        <w:rPr>
          <w:rFonts w:asciiTheme="majorHAnsi" w:hAnsiTheme="majorHAnsi"/>
          <w:b/>
          <w:bCs/>
          <w:sz w:val="20"/>
          <w:szCs w:val="20"/>
        </w:rPr>
        <w:t xml:space="preserve">III. </w:t>
      </w:r>
      <w:r w:rsidRPr="006F267A">
        <w:rPr>
          <w:rFonts w:asciiTheme="majorHAnsi" w:hAnsiTheme="majorHAnsi"/>
          <w:b/>
          <w:bCs/>
          <w:sz w:val="20"/>
          <w:szCs w:val="20"/>
        </w:rPr>
        <w:tab/>
      </w:r>
      <w:r w:rsidR="006D79AA" w:rsidRPr="006F267A">
        <w:rPr>
          <w:rFonts w:ascii="Cambria" w:hAnsi="Cambria"/>
          <w:b/>
          <w:bCs/>
          <w:sz w:val="20"/>
          <w:szCs w:val="20"/>
        </w:rPr>
        <w:t>COMPETENCE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680"/>
        <w:gridCol w:w="4680"/>
      </w:tblGrid>
      <w:tr w:rsidR="006D79AA" w:rsidRPr="006F267A" w:rsidTr="00926ECD">
        <w:trPr>
          <w:cantSplit/>
        </w:trPr>
        <w:tc>
          <w:tcPr>
            <w:tcW w:w="4680" w:type="dxa"/>
            <w:tcBorders>
              <w:top w:val="single" w:sz="4" w:space="0" w:color="auto"/>
            </w:tcBorders>
            <w:shd w:val="clear" w:color="auto" w:fill="67AE3C"/>
            <w:vAlign w:val="center"/>
          </w:tcPr>
          <w:p w:rsidR="006D79AA" w:rsidRPr="006F267A" w:rsidRDefault="006D79AA" w:rsidP="00141D86">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6F267A">
              <w:rPr>
                <w:rFonts w:ascii="Cambria" w:hAnsi="Cambria"/>
                <w:b/>
                <w:bCs/>
                <w:color w:val="FFFFFF"/>
                <w:sz w:val="20"/>
                <w:szCs w:val="20"/>
              </w:rPr>
              <w:t>Competence</w:t>
            </w:r>
            <w:r w:rsidRPr="006F267A">
              <w:rPr>
                <w:rFonts w:ascii="Cambria" w:hAnsi="Cambria"/>
                <w:b/>
                <w:bCs/>
                <w:i/>
                <w:color w:val="FFFFFF"/>
                <w:sz w:val="20"/>
                <w:szCs w:val="20"/>
              </w:rPr>
              <w:t xml:space="preserve"> Ratione personae:</w:t>
            </w:r>
          </w:p>
        </w:tc>
        <w:tc>
          <w:tcPr>
            <w:tcW w:w="4680" w:type="dxa"/>
            <w:tcBorders>
              <w:top w:val="single" w:sz="4" w:space="0" w:color="auto"/>
            </w:tcBorders>
            <w:vAlign w:val="center"/>
          </w:tcPr>
          <w:p w:rsidR="006D79AA" w:rsidRPr="006F267A" w:rsidRDefault="006D79AA" w:rsidP="00141D86">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6F267A">
              <w:rPr>
                <w:rFonts w:ascii="Cambria" w:hAnsi="Cambria"/>
                <w:bCs/>
                <w:sz w:val="20"/>
                <w:szCs w:val="20"/>
              </w:rPr>
              <w:t>Yes</w:t>
            </w:r>
          </w:p>
        </w:tc>
      </w:tr>
      <w:tr w:rsidR="006D79AA" w:rsidRPr="006F267A" w:rsidTr="00926ECD">
        <w:trPr>
          <w:cantSplit/>
        </w:trPr>
        <w:tc>
          <w:tcPr>
            <w:tcW w:w="4680" w:type="dxa"/>
            <w:shd w:val="clear" w:color="auto" w:fill="67AE3C"/>
            <w:vAlign w:val="center"/>
          </w:tcPr>
          <w:p w:rsidR="006D79AA" w:rsidRPr="006F267A" w:rsidRDefault="006D79AA" w:rsidP="00141D8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6F267A">
              <w:rPr>
                <w:rFonts w:ascii="Cambria" w:hAnsi="Cambria"/>
                <w:b/>
                <w:bCs/>
                <w:color w:val="FFFFFF"/>
                <w:sz w:val="20"/>
                <w:szCs w:val="20"/>
              </w:rPr>
              <w:t>Competence</w:t>
            </w:r>
            <w:r w:rsidRPr="006F267A">
              <w:rPr>
                <w:rFonts w:ascii="Cambria" w:hAnsi="Cambria"/>
                <w:b/>
                <w:bCs/>
                <w:i/>
                <w:color w:val="FFFFFF"/>
                <w:sz w:val="20"/>
                <w:szCs w:val="20"/>
              </w:rPr>
              <w:t xml:space="preserve"> Ratione loci</w:t>
            </w:r>
            <w:r w:rsidRPr="006F267A">
              <w:rPr>
                <w:rFonts w:ascii="Cambria" w:hAnsi="Cambria"/>
                <w:b/>
                <w:bCs/>
                <w:color w:val="FFFFFF"/>
                <w:sz w:val="20"/>
                <w:szCs w:val="20"/>
              </w:rPr>
              <w:t>:</w:t>
            </w:r>
          </w:p>
        </w:tc>
        <w:tc>
          <w:tcPr>
            <w:tcW w:w="4680" w:type="dxa"/>
            <w:vAlign w:val="center"/>
          </w:tcPr>
          <w:p w:rsidR="006D79AA" w:rsidRPr="006F267A" w:rsidRDefault="006D79AA" w:rsidP="00141D86">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6F267A">
              <w:rPr>
                <w:rFonts w:ascii="Cambria" w:hAnsi="Cambria"/>
                <w:bCs/>
                <w:sz w:val="20"/>
                <w:szCs w:val="20"/>
              </w:rPr>
              <w:t xml:space="preserve">Yes </w:t>
            </w:r>
          </w:p>
        </w:tc>
      </w:tr>
      <w:tr w:rsidR="006D79AA" w:rsidRPr="006F267A" w:rsidTr="00926ECD">
        <w:trPr>
          <w:cantSplit/>
        </w:trPr>
        <w:tc>
          <w:tcPr>
            <w:tcW w:w="4680" w:type="dxa"/>
            <w:shd w:val="clear" w:color="auto" w:fill="67AE3C"/>
            <w:vAlign w:val="center"/>
          </w:tcPr>
          <w:p w:rsidR="006D79AA" w:rsidRPr="006F267A" w:rsidRDefault="006D79AA" w:rsidP="00141D8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6F267A">
              <w:rPr>
                <w:rFonts w:ascii="Cambria" w:hAnsi="Cambria"/>
                <w:b/>
                <w:bCs/>
                <w:color w:val="FFFFFF"/>
                <w:sz w:val="20"/>
                <w:szCs w:val="20"/>
              </w:rPr>
              <w:t>Competence</w:t>
            </w:r>
            <w:r w:rsidRPr="006F267A">
              <w:rPr>
                <w:rFonts w:ascii="Cambria" w:hAnsi="Cambria"/>
                <w:b/>
                <w:bCs/>
                <w:i/>
                <w:color w:val="FFFFFF"/>
                <w:sz w:val="20"/>
                <w:szCs w:val="20"/>
              </w:rPr>
              <w:t xml:space="preserve"> Ratione temporis</w:t>
            </w:r>
            <w:r w:rsidRPr="006F267A">
              <w:rPr>
                <w:rFonts w:ascii="Cambria" w:hAnsi="Cambria"/>
                <w:b/>
                <w:bCs/>
                <w:color w:val="FFFFFF"/>
                <w:sz w:val="20"/>
                <w:szCs w:val="20"/>
              </w:rPr>
              <w:t>:</w:t>
            </w:r>
          </w:p>
        </w:tc>
        <w:tc>
          <w:tcPr>
            <w:tcW w:w="4680" w:type="dxa"/>
            <w:vAlign w:val="center"/>
          </w:tcPr>
          <w:p w:rsidR="006D79AA" w:rsidRPr="006F267A" w:rsidRDefault="006D79AA" w:rsidP="00141D86">
            <w:pPr>
              <w:pBdr>
                <w:top w:val="none" w:sz="0" w:space="0" w:color="auto"/>
                <w:left w:val="none" w:sz="0" w:space="0" w:color="auto"/>
                <w:bottom w:val="none" w:sz="0" w:space="0" w:color="auto"/>
                <w:right w:val="none" w:sz="0" w:space="0" w:color="auto"/>
                <w:bar w:val="none" w:sz="0" w:color="auto"/>
              </w:pBdr>
              <w:rPr>
                <w:bCs/>
                <w:sz w:val="20"/>
                <w:szCs w:val="20"/>
              </w:rPr>
            </w:pPr>
            <w:r w:rsidRPr="006F267A">
              <w:rPr>
                <w:bCs/>
                <w:sz w:val="20"/>
                <w:szCs w:val="20"/>
              </w:rPr>
              <w:t xml:space="preserve">Yes </w:t>
            </w:r>
          </w:p>
        </w:tc>
      </w:tr>
      <w:tr w:rsidR="006D79AA" w:rsidRPr="006F267A" w:rsidTr="00926ECD">
        <w:trPr>
          <w:cantSplit/>
        </w:trPr>
        <w:tc>
          <w:tcPr>
            <w:tcW w:w="4680" w:type="dxa"/>
            <w:tcBorders>
              <w:bottom w:val="single" w:sz="4" w:space="0" w:color="auto"/>
            </w:tcBorders>
            <w:shd w:val="clear" w:color="auto" w:fill="67AE3C"/>
            <w:vAlign w:val="center"/>
          </w:tcPr>
          <w:p w:rsidR="006D79AA" w:rsidRPr="006F267A" w:rsidRDefault="006D79AA" w:rsidP="00141D8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6F267A">
              <w:rPr>
                <w:rFonts w:ascii="Cambria" w:hAnsi="Cambria"/>
                <w:b/>
                <w:bCs/>
                <w:color w:val="FFFFFF"/>
                <w:sz w:val="20"/>
                <w:szCs w:val="20"/>
              </w:rPr>
              <w:t>Competence</w:t>
            </w:r>
            <w:r w:rsidRPr="006F267A">
              <w:rPr>
                <w:rFonts w:ascii="Cambria" w:hAnsi="Cambria"/>
                <w:b/>
                <w:bCs/>
                <w:i/>
                <w:color w:val="FFFFFF"/>
                <w:sz w:val="20"/>
                <w:szCs w:val="20"/>
              </w:rPr>
              <w:t xml:space="preserve"> Ratione materiae</w:t>
            </w:r>
            <w:r w:rsidRPr="006F267A">
              <w:rPr>
                <w:rFonts w:ascii="Cambria" w:hAnsi="Cambria"/>
                <w:b/>
                <w:bCs/>
                <w:color w:val="FFFFFF"/>
                <w:sz w:val="20"/>
                <w:szCs w:val="20"/>
              </w:rPr>
              <w:t>:</w:t>
            </w:r>
          </w:p>
        </w:tc>
        <w:tc>
          <w:tcPr>
            <w:tcW w:w="4680" w:type="dxa"/>
            <w:tcBorders>
              <w:bottom w:val="single" w:sz="4" w:space="0" w:color="auto"/>
            </w:tcBorders>
            <w:vAlign w:val="center"/>
          </w:tcPr>
          <w:p w:rsidR="006D79AA" w:rsidRPr="006F267A" w:rsidRDefault="006D79AA" w:rsidP="00141D8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6F267A">
              <w:rPr>
                <w:rFonts w:ascii="Cambria" w:hAnsi="Cambria"/>
                <w:bCs/>
                <w:sz w:val="20"/>
                <w:szCs w:val="20"/>
              </w:rPr>
              <w:t>Yes, American Convention on Human Rights (ratification instrument deposited on July 31</w:t>
            </w:r>
            <w:r w:rsidRPr="006F267A">
              <w:rPr>
                <w:rFonts w:ascii="Cambria" w:hAnsi="Cambria"/>
                <w:bCs/>
                <w:sz w:val="20"/>
                <w:szCs w:val="20"/>
                <w:vertAlign w:val="superscript"/>
              </w:rPr>
              <w:t>st</w:t>
            </w:r>
            <w:r w:rsidRPr="006F267A">
              <w:rPr>
                <w:rFonts w:ascii="Cambria" w:hAnsi="Cambria"/>
                <w:bCs/>
                <w:sz w:val="20"/>
                <w:szCs w:val="20"/>
              </w:rPr>
              <w:t xml:space="preserve"> 1973)</w:t>
            </w:r>
          </w:p>
        </w:tc>
      </w:tr>
    </w:tbl>
    <w:p w:rsidR="007578D2" w:rsidRPr="006F267A" w:rsidRDefault="009C7FD6" w:rsidP="007578D2">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6F267A">
        <w:rPr>
          <w:rFonts w:asciiTheme="majorHAnsi" w:hAnsiTheme="majorHAnsi"/>
          <w:b/>
          <w:bCs/>
          <w:sz w:val="20"/>
          <w:szCs w:val="20"/>
        </w:rPr>
        <w:lastRenderedPageBreak/>
        <w:t xml:space="preserve">IV. </w:t>
      </w:r>
      <w:r w:rsidRPr="006F267A">
        <w:rPr>
          <w:rFonts w:asciiTheme="majorHAnsi" w:hAnsiTheme="majorHAnsi"/>
          <w:b/>
          <w:bCs/>
          <w:sz w:val="20"/>
          <w:szCs w:val="20"/>
        </w:rPr>
        <w:tab/>
      </w:r>
      <w:r w:rsidR="007578D2" w:rsidRPr="006F267A">
        <w:rPr>
          <w:rFonts w:ascii="Cambria" w:hAnsi="Cambria"/>
          <w:b/>
          <w:bCs/>
          <w:sz w:val="20"/>
          <w:szCs w:val="20"/>
        </w:rPr>
        <w:t xml:space="preserve">ANALYSIS OF DUPLICATION OF PROCEDURES AND INTERNATIONAL </w:t>
      </w:r>
      <w:r w:rsidR="007578D2" w:rsidRPr="006F267A">
        <w:rPr>
          <w:rFonts w:ascii="Cambria" w:hAnsi="Cambria"/>
          <w:b/>
          <w:bCs/>
          <w:i/>
          <w:sz w:val="20"/>
          <w:szCs w:val="20"/>
        </w:rPr>
        <w:t>RES JUDICATA</w:t>
      </w:r>
      <w:r w:rsidR="007578D2" w:rsidRPr="006F267A">
        <w:rPr>
          <w:rFonts w:ascii="Cambria" w:hAnsi="Cambria"/>
          <w:b/>
          <w:bCs/>
          <w:sz w:val="20"/>
          <w:szCs w:val="20"/>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680"/>
        <w:gridCol w:w="4680"/>
      </w:tblGrid>
      <w:tr w:rsidR="007578D2" w:rsidRPr="006F267A" w:rsidTr="007578D2">
        <w:trPr>
          <w:cantSplit/>
        </w:trPr>
        <w:tc>
          <w:tcPr>
            <w:tcW w:w="4623" w:type="dxa"/>
            <w:tcBorders>
              <w:top w:val="single" w:sz="4" w:space="0" w:color="auto"/>
            </w:tcBorders>
            <w:shd w:val="clear" w:color="auto" w:fill="008000"/>
            <w:vAlign w:val="center"/>
          </w:tcPr>
          <w:p w:rsidR="007578D2" w:rsidRPr="006F267A" w:rsidRDefault="007578D2" w:rsidP="00926ECD">
            <w:pPr>
              <w:pBdr>
                <w:top w:val="none" w:sz="0" w:space="0" w:color="auto"/>
                <w:left w:val="none" w:sz="0" w:space="0" w:color="auto"/>
                <w:bottom w:val="none" w:sz="0" w:space="0" w:color="auto"/>
                <w:right w:val="none" w:sz="0" w:space="0" w:color="auto"/>
                <w:bar w:val="none" w:sz="0" w:color="auto"/>
              </w:pBdr>
              <w:shd w:val="clear" w:color="auto" w:fill="67B03C"/>
              <w:jc w:val="center"/>
              <w:rPr>
                <w:rFonts w:ascii="Cambria" w:hAnsi="Cambria"/>
                <w:b/>
                <w:bCs/>
                <w:color w:val="FFFFFF"/>
                <w:sz w:val="20"/>
                <w:szCs w:val="20"/>
              </w:rPr>
            </w:pPr>
            <w:r w:rsidRPr="006F267A">
              <w:rPr>
                <w:rFonts w:ascii="Cambria" w:hAnsi="Cambria"/>
                <w:b/>
                <w:color w:val="FFFFFF"/>
                <w:sz w:val="20"/>
                <w:szCs w:val="20"/>
              </w:rPr>
              <w:t xml:space="preserve">Duplication of procedures and international </w:t>
            </w:r>
            <w:r w:rsidRPr="006F267A">
              <w:rPr>
                <w:rFonts w:ascii="Cambria" w:hAnsi="Cambria"/>
                <w:b/>
                <w:i/>
                <w:color w:val="FFFFFF"/>
                <w:sz w:val="20"/>
                <w:szCs w:val="20"/>
              </w:rPr>
              <w:t>res judicata</w:t>
            </w:r>
            <w:r w:rsidRPr="006F267A">
              <w:rPr>
                <w:rFonts w:ascii="Cambria" w:hAnsi="Cambria"/>
                <w:b/>
                <w:bCs/>
                <w:color w:val="FFFFFF"/>
                <w:sz w:val="20"/>
                <w:szCs w:val="20"/>
              </w:rPr>
              <w:t>:</w:t>
            </w:r>
          </w:p>
        </w:tc>
        <w:tc>
          <w:tcPr>
            <w:tcW w:w="4619" w:type="dxa"/>
            <w:tcBorders>
              <w:top w:val="single" w:sz="4" w:space="0" w:color="auto"/>
            </w:tcBorders>
            <w:vAlign w:val="center"/>
          </w:tcPr>
          <w:p w:rsidR="007578D2" w:rsidRPr="006F267A" w:rsidRDefault="007578D2" w:rsidP="00141D8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6F267A">
              <w:rPr>
                <w:rFonts w:ascii="Cambria" w:hAnsi="Cambria"/>
                <w:bCs/>
                <w:sz w:val="20"/>
                <w:szCs w:val="20"/>
              </w:rPr>
              <w:t>No</w:t>
            </w:r>
          </w:p>
        </w:tc>
      </w:tr>
      <w:tr w:rsidR="007578D2" w:rsidRPr="006F267A" w:rsidTr="00926ECD">
        <w:trPr>
          <w:cantSplit/>
        </w:trPr>
        <w:tc>
          <w:tcPr>
            <w:tcW w:w="4680" w:type="dxa"/>
            <w:shd w:val="clear" w:color="auto" w:fill="67B03C"/>
            <w:vAlign w:val="center"/>
          </w:tcPr>
          <w:p w:rsidR="007578D2" w:rsidRPr="006F267A" w:rsidRDefault="007578D2" w:rsidP="00926ECD">
            <w:pPr>
              <w:pBdr>
                <w:top w:val="none" w:sz="0" w:space="0" w:color="auto"/>
                <w:left w:val="none" w:sz="0" w:space="0" w:color="auto"/>
                <w:bottom w:val="none" w:sz="0" w:space="0" w:color="auto"/>
                <w:right w:val="none" w:sz="0" w:space="0" w:color="auto"/>
                <w:bar w:val="none" w:sz="0" w:color="auto"/>
              </w:pBdr>
              <w:shd w:val="clear" w:color="auto" w:fill="67AE3C"/>
              <w:jc w:val="center"/>
              <w:rPr>
                <w:rFonts w:ascii="Cambria" w:hAnsi="Cambria"/>
                <w:b/>
                <w:bCs/>
                <w:i/>
                <w:color w:val="FFFFFF"/>
                <w:sz w:val="20"/>
                <w:szCs w:val="20"/>
              </w:rPr>
            </w:pPr>
            <w:r w:rsidRPr="006F267A">
              <w:rPr>
                <w:rFonts w:ascii="Cambria" w:hAnsi="Cambria"/>
                <w:b/>
                <w:color w:val="FFFFFF"/>
                <w:sz w:val="20"/>
                <w:szCs w:val="20"/>
              </w:rPr>
              <w:t>Rights declared admissible:</w:t>
            </w:r>
          </w:p>
        </w:tc>
        <w:tc>
          <w:tcPr>
            <w:tcW w:w="4680" w:type="dxa"/>
            <w:vAlign w:val="center"/>
          </w:tcPr>
          <w:p w:rsidR="007578D2" w:rsidRPr="006F267A" w:rsidRDefault="005C6D24" w:rsidP="00AE5B6A">
            <w:pPr>
              <w:jc w:val="both"/>
              <w:rPr>
                <w:rFonts w:ascii="Cambria" w:hAnsi="Cambria"/>
                <w:sz w:val="20"/>
                <w:szCs w:val="20"/>
                <w:bdr w:val="none" w:sz="0" w:space="0" w:color="auto" w:frame="1"/>
              </w:rPr>
            </w:pPr>
            <w:r w:rsidRPr="006F267A">
              <w:rPr>
                <w:rFonts w:ascii="Cambria" w:hAnsi="Cambria"/>
                <w:bCs/>
                <w:sz w:val="20"/>
                <w:szCs w:val="20"/>
              </w:rPr>
              <w:t xml:space="preserve">Articles </w:t>
            </w:r>
            <w:r w:rsidR="007578D2" w:rsidRPr="006F267A">
              <w:rPr>
                <w:rFonts w:ascii="Cambria" w:hAnsi="Cambria"/>
                <w:bCs/>
                <w:sz w:val="20"/>
                <w:szCs w:val="20"/>
              </w:rPr>
              <w:t>4 (</w:t>
            </w:r>
            <w:r w:rsidRPr="006F267A">
              <w:rPr>
                <w:rFonts w:ascii="Cambria" w:hAnsi="Cambria"/>
                <w:bCs/>
                <w:sz w:val="20"/>
                <w:szCs w:val="20"/>
              </w:rPr>
              <w:t>Right to Life</w:t>
            </w:r>
            <w:r w:rsidR="007578D2" w:rsidRPr="006F267A">
              <w:rPr>
                <w:rFonts w:ascii="Cambria" w:hAnsi="Cambria"/>
                <w:bCs/>
                <w:sz w:val="20"/>
                <w:szCs w:val="20"/>
              </w:rPr>
              <w:t>), 5 (</w:t>
            </w:r>
            <w:r w:rsidRPr="006F267A">
              <w:rPr>
                <w:rFonts w:ascii="Cambria" w:hAnsi="Cambria"/>
                <w:bCs/>
                <w:sz w:val="20"/>
                <w:szCs w:val="20"/>
              </w:rPr>
              <w:t xml:space="preserve">Right to </w:t>
            </w:r>
            <w:r w:rsidR="00AE5B6A">
              <w:rPr>
                <w:rFonts w:ascii="Cambria" w:hAnsi="Cambria"/>
                <w:bCs/>
                <w:sz w:val="20"/>
                <w:szCs w:val="20"/>
              </w:rPr>
              <w:t>personal integrity</w:t>
            </w:r>
            <w:r w:rsidR="007578D2" w:rsidRPr="006F267A">
              <w:rPr>
                <w:rFonts w:ascii="Cambria" w:hAnsi="Cambria"/>
                <w:bCs/>
                <w:sz w:val="20"/>
                <w:szCs w:val="20"/>
              </w:rPr>
              <w:t>), 7 (</w:t>
            </w:r>
            <w:r w:rsidRPr="006F267A">
              <w:rPr>
                <w:rFonts w:ascii="Cambria" w:hAnsi="Cambria"/>
                <w:bCs/>
                <w:sz w:val="20"/>
                <w:szCs w:val="20"/>
              </w:rPr>
              <w:t>Right to Personal Liberty</w:t>
            </w:r>
            <w:r w:rsidR="007578D2" w:rsidRPr="006F267A">
              <w:rPr>
                <w:rFonts w:ascii="Cambria" w:hAnsi="Cambria"/>
                <w:bCs/>
                <w:sz w:val="20"/>
                <w:szCs w:val="20"/>
              </w:rPr>
              <w:t xml:space="preserve">), </w:t>
            </w:r>
            <w:r w:rsidR="007578D2" w:rsidRPr="006F267A">
              <w:rPr>
                <w:rFonts w:ascii="Cambria" w:hAnsi="Cambria"/>
                <w:sz w:val="20"/>
                <w:szCs w:val="20"/>
                <w:bdr w:val="none" w:sz="0" w:space="0" w:color="auto" w:frame="1"/>
              </w:rPr>
              <w:t>8 (</w:t>
            </w:r>
            <w:r w:rsidRPr="006F267A">
              <w:rPr>
                <w:rFonts w:ascii="Cambria" w:hAnsi="Cambria"/>
                <w:sz w:val="20"/>
                <w:szCs w:val="20"/>
                <w:bdr w:val="none" w:sz="0" w:space="0" w:color="auto" w:frame="1"/>
              </w:rPr>
              <w:t>Right to a Fair Trial</w:t>
            </w:r>
            <w:r w:rsidR="007578D2" w:rsidRPr="006F267A">
              <w:rPr>
                <w:rFonts w:ascii="Cambria" w:hAnsi="Cambria"/>
                <w:sz w:val="20"/>
                <w:szCs w:val="20"/>
                <w:bdr w:val="none" w:sz="0" w:space="0" w:color="auto" w:frame="1"/>
              </w:rPr>
              <w:t>), 11 (</w:t>
            </w:r>
            <w:r w:rsidRPr="006F267A">
              <w:rPr>
                <w:rFonts w:ascii="Cambria" w:hAnsi="Cambria"/>
                <w:sz w:val="20"/>
                <w:szCs w:val="20"/>
                <w:bdr w:val="none" w:sz="0" w:space="0" w:color="auto" w:frame="1"/>
              </w:rPr>
              <w:t>protection of honor and dignity</w:t>
            </w:r>
            <w:r w:rsidR="007578D2" w:rsidRPr="006F267A">
              <w:rPr>
                <w:rFonts w:ascii="Cambria" w:hAnsi="Cambria"/>
                <w:sz w:val="20"/>
                <w:szCs w:val="20"/>
                <w:bdr w:val="none" w:sz="0" w:space="0" w:color="auto" w:frame="1"/>
              </w:rPr>
              <w:t>)</w:t>
            </w:r>
            <w:r w:rsidR="00085D81">
              <w:rPr>
                <w:rFonts w:ascii="Cambria" w:hAnsi="Cambria"/>
                <w:sz w:val="20"/>
                <w:szCs w:val="20"/>
                <w:bdr w:val="none" w:sz="0" w:space="0" w:color="auto" w:frame="1"/>
              </w:rPr>
              <w:t xml:space="preserve"> 22 (</w:t>
            </w:r>
            <w:r w:rsidR="00085D81" w:rsidRPr="00085D81">
              <w:rPr>
                <w:rFonts w:ascii="Cambria" w:hAnsi="Cambria"/>
                <w:sz w:val="20"/>
                <w:szCs w:val="20"/>
                <w:bdr w:val="none" w:sz="0" w:space="0" w:color="auto" w:frame="1"/>
              </w:rPr>
              <w:t>Freedom of Movement and Residence</w:t>
            </w:r>
            <w:r w:rsidR="00085D81">
              <w:rPr>
                <w:rFonts w:ascii="Cambria" w:hAnsi="Cambria"/>
                <w:sz w:val="20"/>
                <w:szCs w:val="20"/>
                <w:bdr w:val="none" w:sz="0" w:space="0" w:color="auto" w:frame="1"/>
              </w:rPr>
              <w:t>),</w:t>
            </w:r>
            <w:r w:rsidR="007578D2" w:rsidRPr="006F267A">
              <w:rPr>
                <w:rFonts w:ascii="Cambria" w:hAnsi="Cambria"/>
                <w:sz w:val="20"/>
                <w:szCs w:val="20"/>
                <w:bdr w:val="none" w:sz="0" w:space="0" w:color="auto" w:frame="1"/>
              </w:rPr>
              <w:t xml:space="preserve"> </w:t>
            </w:r>
            <w:r w:rsidRPr="006F267A">
              <w:rPr>
                <w:rFonts w:ascii="Cambria" w:hAnsi="Cambria"/>
                <w:sz w:val="20"/>
                <w:szCs w:val="20"/>
                <w:bdr w:val="none" w:sz="0" w:space="0" w:color="auto" w:frame="1"/>
              </w:rPr>
              <w:t xml:space="preserve">and </w:t>
            </w:r>
            <w:r w:rsidR="007578D2" w:rsidRPr="006F267A">
              <w:rPr>
                <w:rFonts w:ascii="Cambria" w:hAnsi="Cambria"/>
                <w:sz w:val="20"/>
                <w:szCs w:val="20"/>
                <w:bdr w:val="none" w:sz="0" w:space="0" w:color="auto" w:frame="1"/>
              </w:rPr>
              <w:t>25 (</w:t>
            </w:r>
            <w:r w:rsidRPr="006F267A">
              <w:rPr>
                <w:rFonts w:ascii="Cambria" w:hAnsi="Cambria"/>
                <w:sz w:val="20"/>
                <w:szCs w:val="20"/>
                <w:bdr w:val="none" w:sz="0" w:space="0" w:color="auto" w:frame="1"/>
              </w:rPr>
              <w:t>Right to Judicial Protection</w:t>
            </w:r>
            <w:r w:rsidR="007578D2" w:rsidRPr="006F267A">
              <w:rPr>
                <w:rFonts w:ascii="Cambria" w:hAnsi="Cambria"/>
                <w:sz w:val="20"/>
                <w:szCs w:val="20"/>
                <w:bdr w:val="none" w:sz="0" w:space="0" w:color="auto" w:frame="1"/>
              </w:rPr>
              <w:t xml:space="preserve">) </w:t>
            </w:r>
            <w:r w:rsidRPr="006F267A">
              <w:rPr>
                <w:rFonts w:ascii="Cambria" w:hAnsi="Cambria"/>
                <w:sz w:val="20"/>
                <w:szCs w:val="20"/>
                <w:bdr w:val="none" w:sz="0" w:space="0" w:color="auto" w:frame="1"/>
              </w:rPr>
              <w:t xml:space="preserve">of the American Convention and articles </w:t>
            </w:r>
            <w:r w:rsidR="007578D2" w:rsidRPr="006F267A">
              <w:rPr>
                <w:rFonts w:ascii="Cambria" w:hAnsi="Cambria"/>
                <w:sz w:val="20"/>
                <w:szCs w:val="20"/>
                <w:bdr w:val="none" w:sz="0" w:space="0" w:color="auto" w:frame="1"/>
              </w:rPr>
              <w:t xml:space="preserve">1, 6 </w:t>
            </w:r>
            <w:r w:rsidRPr="006F267A">
              <w:rPr>
                <w:rFonts w:ascii="Cambria" w:hAnsi="Cambria"/>
                <w:sz w:val="20"/>
                <w:szCs w:val="20"/>
                <w:bdr w:val="none" w:sz="0" w:space="0" w:color="auto" w:frame="1"/>
              </w:rPr>
              <w:t xml:space="preserve">and </w:t>
            </w:r>
            <w:r w:rsidR="007578D2" w:rsidRPr="006F267A">
              <w:rPr>
                <w:rFonts w:ascii="Cambria" w:hAnsi="Cambria"/>
                <w:sz w:val="20"/>
                <w:szCs w:val="20"/>
                <w:bdr w:val="none" w:sz="0" w:space="0" w:color="auto" w:frame="1"/>
              </w:rPr>
              <w:t xml:space="preserve">8 </w:t>
            </w:r>
            <w:r w:rsidRPr="006F267A">
              <w:rPr>
                <w:rFonts w:ascii="Cambria" w:hAnsi="Cambria"/>
                <w:sz w:val="20"/>
                <w:szCs w:val="20"/>
                <w:bdr w:val="none" w:sz="0" w:space="0" w:color="auto" w:frame="1"/>
              </w:rPr>
              <w:t xml:space="preserve">of the </w:t>
            </w:r>
            <w:r w:rsidR="00B906D4" w:rsidRPr="006F267A">
              <w:rPr>
                <w:rFonts w:ascii="Cambria" w:hAnsi="Cambria"/>
                <w:sz w:val="20"/>
                <w:szCs w:val="20"/>
                <w:bdr w:val="none" w:sz="0" w:space="0" w:color="auto" w:frame="1"/>
              </w:rPr>
              <w:t>Inter-American Convention to Prevent and Punish Torture</w:t>
            </w:r>
          </w:p>
        </w:tc>
      </w:tr>
      <w:tr w:rsidR="007578D2" w:rsidRPr="001B0945" w:rsidTr="00926ECD">
        <w:trPr>
          <w:cantSplit/>
        </w:trPr>
        <w:tc>
          <w:tcPr>
            <w:tcW w:w="4623" w:type="dxa"/>
            <w:shd w:val="clear" w:color="auto" w:fill="67AE3C"/>
            <w:vAlign w:val="center"/>
          </w:tcPr>
          <w:p w:rsidR="007578D2" w:rsidRPr="006F267A" w:rsidRDefault="007578D2" w:rsidP="00141D8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6F267A">
              <w:rPr>
                <w:rFonts w:ascii="Cambria" w:hAnsi="Cambria"/>
                <w:b/>
                <w:color w:val="FFFFFF"/>
                <w:sz w:val="20"/>
                <w:szCs w:val="20"/>
              </w:rPr>
              <w:t>Exhaustion of domestic remedies or applicability of an exception to the rule:</w:t>
            </w:r>
          </w:p>
        </w:tc>
        <w:tc>
          <w:tcPr>
            <w:tcW w:w="4619" w:type="dxa"/>
            <w:vAlign w:val="center"/>
          </w:tcPr>
          <w:p w:rsidR="007578D2" w:rsidRPr="001B0945" w:rsidRDefault="001B0945" w:rsidP="001B0945">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n-GB"/>
              </w:rPr>
            </w:pPr>
            <w:r w:rsidRPr="001B0945">
              <w:rPr>
                <w:rFonts w:ascii="Cambria" w:hAnsi="Cambria"/>
                <w:bCs/>
                <w:sz w:val="20"/>
                <w:szCs w:val="20"/>
                <w:lang w:val="en-GB"/>
              </w:rPr>
              <w:t>Yes</w:t>
            </w:r>
            <w:r w:rsidR="007578D2" w:rsidRPr="001B0945">
              <w:rPr>
                <w:rFonts w:ascii="Cambria" w:hAnsi="Cambria"/>
                <w:bCs/>
                <w:sz w:val="20"/>
                <w:szCs w:val="20"/>
                <w:lang w:val="en-GB"/>
              </w:rPr>
              <w:t xml:space="preserve">, </w:t>
            </w:r>
            <w:r w:rsidRPr="001B0945">
              <w:rPr>
                <w:rFonts w:ascii="Cambria" w:hAnsi="Cambria"/>
                <w:bCs/>
                <w:sz w:val="20"/>
                <w:szCs w:val="20"/>
                <w:lang w:val="en-GB"/>
              </w:rPr>
              <w:t xml:space="preserve">exceptions of article </w:t>
            </w:r>
            <w:r w:rsidR="007578D2" w:rsidRPr="001B0945">
              <w:rPr>
                <w:rFonts w:ascii="Cambria" w:hAnsi="Cambria"/>
                <w:bCs/>
                <w:sz w:val="20"/>
                <w:szCs w:val="20"/>
                <w:lang w:val="en-GB"/>
              </w:rPr>
              <w:t xml:space="preserve">46.2.b </w:t>
            </w:r>
            <w:r w:rsidRPr="001B0945">
              <w:rPr>
                <w:rFonts w:ascii="Cambria" w:hAnsi="Cambria"/>
                <w:bCs/>
                <w:sz w:val="20"/>
                <w:szCs w:val="20"/>
                <w:lang w:val="en-GB"/>
              </w:rPr>
              <w:t xml:space="preserve">and </w:t>
            </w:r>
            <w:r w:rsidR="007578D2" w:rsidRPr="001B0945">
              <w:rPr>
                <w:rFonts w:ascii="Cambria" w:hAnsi="Cambria"/>
                <w:bCs/>
                <w:sz w:val="20"/>
                <w:szCs w:val="20"/>
                <w:lang w:val="en-GB"/>
              </w:rPr>
              <w:t xml:space="preserve">c </w:t>
            </w:r>
            <w:r w:rsidRPr="001B0945">
              <w:rPr>
                <w:rFonts w:ascii="Cambria" w:hAnsi="Cambria"/>
                <w:bCs/>
                <w:sz w:val="20"/>
                <w:szCs w:val="20"/>
                <w:lang w:val="en-GB"/>
              </w:rPr>
              <w:t xml:space="preserve">of the ACHR </w:t>
            </w:r>
            <w:r>
              <w:rPr>
                <w:rFonts w:ascii="Cambria" w:hAnsi="Cambria"/>
                <w:bCs/>
                <w:sz w:val="20"/>
                <w:szCs w:val="20"/>
                <w:lang w:val="en-GB"/>
              </w:rPr>
              <w:t>are applicable</w:t>
            </w:r>
          </w:p>
        </w:tc>
      </w:tr>
      <w:tr w:rsidR="007578D2" w:rsidRPr="006F267A" w:rsidTr="00926ECD">
        <w:trPr>
          <w:cantSplit/>
        </w:trPr>
        <w:tc>
          <w:tcPr>
            <w:tcW w:w="4623" w:type="dxa"/>
            <w:tcBorders>
              <w:bottom w:val="single" w:sz="4" w:space="0" w:color="auto"/>
            </w:tcBorders>
            <w:shd w:val="clear" w:color="auto" w:fill="67AE3C"/>
            <w:vAlign w:val="center"/>
          </w:tcPr>
          <w:p w:rsidR="007578D2" w:rsidRPr="006F267A" w:rsidRDefault="007578D2" w:rsidP="00141D8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6F267A">
              <w:rPr>
                <w:rFonts w:ascii="Cambria" w:hAnsi="Cambria"/>
                <w:b/>
                <w:color w:val="FFFFFF"/>
                <w:sz w:val="20"/>
                <w:szCs w:val="20"/>
              </w:rPr>
              <w:t>Timeliness of the petition:</w:t>
            </w:r>
          </w:p>
        </w:tc>
        <w:tc>
          <w:tcPr>
            <w:tcW w:w="4619" w:type="dxa"/>
            <w:tcBorders>
              <w:bottom w:val="single" w:sz="4" w:space="0" w:color="auto"/>
            </w:tcBorders>
            <w:vAlign w:val="center"/>
          </w:tcPr>
          <w:p w:rsidR="007578D2" w:rsidRPr="006F267A" w:rsidRDefault="007578D2" w:rsidP="00141D86">
            <w:pPr>
              <w:pBdr>
                <w:top w:val="none" w:sz="0" w:space="0" w:color="auto"/>
                <w:left w:val="none" w:sz="0" w:space="0" w:color="auto"/>
                <w:bottom w:val="none" w:sz="0" w:space="0" w:color="auto"/>
                <w:right w:val="none" w:sz="0" w:space="0" w:color="auto"/>
                <w:bar w:val="none" w:sz="0" w:color="auto"/>
              </w:pBdr>
              <w:rPr>
                <w:bCs/>
                <w:sz w:val="20"/>
                <w:szCs w:val="20"/>
              </w:rPr>
            </w:pPr>
            <w:r w:rsidRPr="006F267A">
              <w:rPr>
                <w:rFonts w:ascii="Cambria" w:hAnsi="Cambria"/>
                <w:bCs/>
                <w:sz w:val="20"/>
                <w:szCs w:val="20"/>
              </w:rPr>
              <w:t>Yes, under the terms of Section VI</w:t>
            </w:r>
          </w:p>
        </w:tc>
      </w:tr>
    </w:tbl>
    <w:p w:rsidR="007607C4" w:rsidRPr="006F267A" w:rsidRDefault="007607C4" w:rsidP="00E832F9">
      <w:pPr>
        <w:tabs>
          <w:tab w:val="center" w:pos="5400"/>
        </w:tabs>
        <w:suppressAutoHyphens/>
        <w:rPr>
          <w:rFonts w:asciiTheme="majorHAnsi" w:hAnsiTheme="majorHAnsi"/>
          <w:sz w:val="20"/>
          <w:szCs w:val="20"/>
        </w:rPr>
      </w:pPr>
    </w:p>
    <w:p w:rsidR="009C7FD6" w:rsidRDefault="004415FC" w:rsidP="004415FC">
      <w:pPr>
        <w:tabs>
          <w:tab w:val="left" w:pos="2820"/>
        </w:tabs>
        <w:suppressAutoHyphens/>
        <w:rPr>
          <w:rFonts w:asciiTheme="majorHAnsi" w:hAnsiTheme="majorHAnsi"/>
          <w:b/>
          <w:sz w:val="20"/>
          <w:szCs w:val="20"/>
        </w:rPr>
      </w:pPr>
      <w:r>
        <w:rPr>
          <w:rFonts w:asciiTheme="majorHAnsi" w:hAnsiTheme="majorHAnsi"/>
          <w:b/>
          <w:sz w:val="20"/>
          <w:szCs w:val="20"/>
        </w:rPr>
        <w:t xml:space="preserve">                 V. </w:t>
      </w:r>
      <w:r w:rsidR="004525FB" w:rsidRPr="006F267A">
        <w:rPr>
          <w:rFonts w:asciiTheme="majorHAnsi" w:hAnsiTheme="majorHAnsi"/>
          <w:b/>
          <w:sz w:val="20"/>
          <w:szCs w:val="20"/>
        </w:rPr>
        <w:t>ALLEGED FACTS</w:t>
      </w:r>
    </w:p>
    <w:p w:rsidR="004415FC" w:rsidRPr="004415FC" w:rsidRDefault="004415FC" w:rsidP="004415FC">
      <w:pPr>
        <w:tabs>
          <w:tab w:val="left" w:pos="2820"/>
        </w:tabs>
        <w:suppressAutoHyphens/>
        <w:rPr>
          <w:rFonts w:asciiTheme="majorHAnsi" w:hAnsiTheme="majorHAnsi"/>
          <w:sz w:val="20"/>
          <w:szCs w:val="20"/>
        </w:rPr>
      </w:pPr>
    </w:p>
    <w:p w:rsidR="009C7FD6" w:rsidRPr="006F267A" w:rsidRDefault="009444C9" w:rsidP="005A3D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Cambria" w:hAnsi="Cambria"/>
          <w:sz w:val="20"/>
          <w:szCs w:val="20"/>
        </w:rPr>
        <w:t>The petitioners state that within the framework of the defense and security policies implemented</w:t>
      </w:r>
      <w:r w:rsidR="009C7FD6" w:rsidRPr="006F267A">
        <w:rPr>
          <w:rFonts w:ascii="Cambria" w:hAnsi="Cambria"/>
          <w:sz w:val="20"/>
          <w:szCs w:val="20"/>
        </w:rPr>
        <w:t xml:space="preserve"> </w:t>
      </w:r>
      <w:r w:rsidRPr="006F267A">
        <w:rPr>
          <w:rFonts w:ascii="Cambria" w:hAnsi="Cambria"/>
          <w:sz w:val="20"/>
          <w:szCs w:val="20"/>
        </w:rPr>
        <w:t xml:space="preserve">by President </w:t>
      </w:r>
      <w:r w:rsidR="009C7FD6" w:rsidRPr="006F267A">
        <w:rPr>
          <w:rFonts w:ascii="Cambria" w:hAnsi="Cambria"/>
          <w:sz w:val="20"/>
          <w:szCs w:val="20"/>
        </w:rPr>
        <w:t xml:space="preserve">Álvaro Uribe, </w:t>
      </w:r>
      <w:r w:rsidRPr="006F267A">
        <w:rPr>
          <w:rFonts w:ascii="Cambria" w:hAnsi="Cambria"/>
          <w:sz w:val="20"/>
          <w:szCs w:val="20"/>
        </w:rPr>
        <w:t xml:space="preserve">from </w:t>
      </w:r>
      <w:r w:rsidR="009C7FD6" w:rsidRPr="006F267A">
        <w:rPr>
          <w:rFonts w:ascii="Cambria" w:hAnsi="Cambria"/>
          <w:sz w:val="20"/>
          <w:szCs w:val="20"/>
        </w:rPr>
        <w:t xml:space="preserve">2002, </w:t>
      </w:r>
      <w:r w:rsidRPr="006F267A">
        <w:rPr>
          <w:rFonts w:ascii="Cambria" w:hAnsi="Cambria"/>
          <w:sz w:val="20"/>
          <w:szCs w:val="20"/>
        </w:rPr>
        <w:t xml:space="preserve">military operations were undertaken against the </w:t>
      </w:r>
      <w:r w:rsidR="006F7A15" w:rsidRPr="006F267A">
        <w:rPr>
          <w:rFonts w:ascii="Cambria" w:hAnsi="Cambria"/>
          <w:sz w:val="20"/>
          <w:szCs w:val="20"/>
        </w:rPr>
        <w:t>guerrilla</w:t>
      </w:r>
      <w:r w:rsidRPr="006F267A">
        <w:rPr>
          <w:rFonts w:ascii="Cambria" w:hAnsi="Cambria"/>
          <w:sz w:val="20"/>
          <w:szCs w:val="20"/>
        </w:rPr>
        <w:t xml:space="preserve"> group of the Revolutionary Armed Forces of Colombia </w:t>
      </w:r>
      <w:r w:rsidR="009C7FD6" w:rsidRPr="006F267A">
        <w:rPr>
          <w:rFonts w:ascii="Cambria" w:hAnsi="Cambria"/>
          <w:sz w:val="20"/>
          <w:szCs w:val="20"/>
        </w:rPr>
        <w:t xml:space="preserve">(FARC) </w:t>
      </w:r>
      <w:r w:rsidRPr="006F267A">
        <w:rPr>
          <w:rFonts w:ascii="Cambria" w:hAnsi="Cambria"/>
          <w:sz w:val="20"/>
          <w:szCs w:val="20"/>
        </w:rPr>
        <w:t>and other subversive groups</w:t>
      </w:r>
      <w:r w:rsidR="009C7FD6" w:rsidRPr="006F267A">
        <w:rPr>
          <w:rFonts w:ascii="Cambria" w:hAnsi="Cambria"/>
          <w:sz w:val="20"/>
          <w:szCs w:val="20"/>
        </w:rPr>
        <w:t xml:space="preserve">, </w:t>
      </w:r>
      <w:r w:rsidRPr="006F267A">
        <w:rPr>
          <w:rFonts w:ascii="Cambria" w:hAnsi="Cambria"/>
          <w:sz w:val="20"/>
          <w:szCs w:val="20"/>
        </w:rPr>
        <w:t xml:space="preserve">in the eastern region of the Department of </w:t>
      </w:r>
      <w:r w:rsidR="009C7FD6" w:rsidRPr="006F267A">
        <w:rPr>
          <w:rFonts w:ascii="Cambria" w:hAnsi="Cambria"/>
          <w:sz w:val="20"/>
          <w:szCs w:val="20"/>
        </w:rPr>
        <w:t xml:space="preserve">Antioquia. </w:t>
      </w:r>
      <w:r w:rsidR="00365781">
        <w:rPr>
          <w:rFonts w:ascii="Cambria" w:hAnsi="Cambria"/>
          <w:sz w:val="20"/>
          <w:szCs w:val="20"/>
        </w:rPr>
        <w:t>T</w:t>
      </w:r>
      <w:r w:rsidRPr="006F267A">
        <w:rPr>
          <w:rFonts w:ascii="Cambria" w:hAnsi="Cambria"/>
          <w:sz w:val="20"/>
          <w:szCs w:val="20"/>
        </w:rPr>
        <w:t xml:space="preserve">hey indicate that in March </w:t>
      </w:r>
      <w:r w:rsidR="009C7FD6" w:rsidRPr="006F267A">
        <w:rPr>
          <w:rFonts w:ascii="Cambria" w:hAnsi="Cambria"/>
          <w:sz w:val="20"/>
          <w:szCs w:val="20"/>
        </w:rPr>
        <w:t xml:space="preserve">2003 </w:t>
      </w:r>
      <w:r w:rsidRPr="006F267A">
        <w:rPr>
          <w:rFonts w:ascii="Cambria" w:hAnsi="Cambria"/>
          <w:sz w:val="20"/>
          <w:szCs w:val="20"/>
        </w:rPr>
        <w:t xml:space="preserve">the Colombian Army carried out the </w:t>
      </w:r>
      <w:r w:rsidR="009C7FD6" w:rsidRPr="00365781">
        <w:rPr>
          <w:rFonts w:ascii="Cambria" w:hAnsi="Cambria"/>
          <w:sz w:val="20"/>
          <w:szCs w:val="20"/>
        </w:rPr>
        <w:t xml:space="preserve">“Marcial Norte” </w:t>
      </w:r>
      <w:r w:rsidRPr="00365781">
        <w:rPr>
          <w:rFonts w:ascii="Cambria" w:hAnsi="Cambria"/>
          <w:sz w:val="20"/>
          <w:szCs w:val="20"/>
        </w:rPr>
        <w:t>Operation</w:t>
      </w:r>
      <w:r w:rsidRPr="006F267A">
        <w:rPr>
          <w:rFonts w:ascii="Cambria" w:hAnsi="Cambria"/>
          <w:sz w:val="20"/>
          <w:szCs w:val="20"/>
        </w:rPr>
        <w:t xml:space="preserve"> in the </w:t>
      </w:r>
      <w:r w:rsidR="009366FA">
        <w:rPr>
          <w:rFonts w:ascii="Cambria" w:hAnsi="Cambria"/>
          <w:sz w:val="20"/>
          <w:szCs w:val="20"/>
        </w:rPr>
        <w:t xml:space="preserve">municipality </w:t>
      </w:r>
      <w:r w:rsidRPr="006F267A">
        <w:rPr>
          <w:rFonts w:ascii="Cambria" w:hAnsi="Cambria"/>
          <w:sz w:val="20"/>
          <w:szCs w:val="20"/>
        </w:rPr>
        <w:t xml:space="preserve">of </w:t>
      </w:r>
      <w:r w:rsidR="009C7FD6" w:rsidRPr="006F267A">
        <w:rPr>
          <w:rFonts w:ascii="Cambria" w:hAnsi="Cambria"/>
          <w:sz w:val="20"/>
          <w:szCs w:val="20"/>
        </w:rPr>
        <w:t xml:space="preserve">San Francisco. </w:t>
      </w:r>
      <w:r w:rsidRPr="006F267A">
        <w:rPr>
          <w:rFonts w:ascii="Cambria" w:hAnsi="Cambria"/>
          <w:sz w:val="20"/>
          <w:szCs w:val="20"/>
        </w:rPr>
        <w:t>In this context</w:t>
      </w:r>
      <w:r w:rsidR="009C7FD6" w:rsidRPr="006F267A">
        <w:rPr>
          <w:rFonts w:ascii="Cambria" w:hAnsi="Cambria"/>
          <w:sz w:val="20"/>
          <w:szCs w:val="20"/>
        </w:rPr>
        <w:t xml:space="preserve">, </w:t>
      </w:r>
      <w:r w:rsidR="009D7397">
        <w:rPr>
          <w:rFonts w:ascii="Cambria" w:hAnsi="Cambria"/>
          <w:sz w:val="20"/>
          <w:szCs w:val="20"/>
        </w:rPr>
        <w:t>on the morning of March 13</w:t>
      </w:r>
      <w:r w:rsidR="009D7397" w:rsidRPr="009D7397">
        <w:rPr>
          <w:rFonts w:ascii="Cambria" w:hAnsi="Cambria"/>
          <w:sz w:val="20"/>
          <w:szCs w:val="20"/>
          <w:vertAlign w:val="superscript"/>
        </w:rPr>
        <w:t>th</w:t>
      </w:r>
      <w:r w:rsidR="009C7FD6" w:rsidRPr="006F267A">
        <w:rPr>
          <w:rFonts w:ascii="Cambria" w:hAnsi="Cambria"/>
          <w:sz w:val="20"/>
          <w:szCs w:val="20"/>
        </w:rPr>
        <w:t xml:space="preserve">, </w:t>
      </w:r>
      <w:r w:rsidRPr="006F267A">
        <w:rPr>
          <w:rFonts w:ascii="Cambria" w:hAnsi="Cambria"/>
          <w:sz w:val="20"/>
          <w:szCs w:val="20"/>
        </w:rPr>
        <w:t xml:space="preserve">while </w:t>
      </w:r>
      <w:r w:rsidR="009C7FD6" w:rsidRPr="006F267A">
        <w:rPr>
          <w:rFonts w:ascii="Cambria" w:hAnsi="Cambria"/>
          <w:sz w:val="20"/>
          <w:szCs w:val="20"/>
        </w:rPr>
        <w:t xml:space="preserve">José Ruperto Agudelo Ciro </w:t>
      </w:r>
      <w:r w:rsidRPr="006F267A">
        <w:rPr>
          <w:rFonts w:ascii="Cambria" w:hAnsi="Cambria"/>
          <w:sz w:val="20"/>
          <w:szCs w:val="20"/>
        </w:rPr>
        <w:t xml:space="preserve">was travelling along the road to </w:t>
      </w:r>
      <w:r w:rsidR="009C7FD6" w:rsidRPr="006F267A">
        <w:rPr>
          <w:rFonts w:ascii="Cambria" w:hAnsi="Cambria"/>
          <w:sz w:val="20"/>
          <w:szCs w:val="20"/>
        </w:rPr>
        <w:t xml:space="preserve">Vereda Boquerón, </w:t>
      </w:r>
      <w:r w:rsidRPr="006F267A">
        <w:rPr>
          <w:rFonts w:ascii="Cambria" w:hAnsi="Cambria"/>
          <w:sz w:val="20"/>
          <w:szCs w:val="20"/>
        </w:rPr>
        <w:t xml:space="preserve">he was intercepted by military </w:t>
      </w:r>
      <w:r w:rsidR="002762A7" w:rsidRPr="006F267A">
        <w:rPr>
          <w:rFonts w:ascii="Cambria" w:hAnsi="Cambria"/>
          <w:sz w:val="20"/>
          <w:szCs w:val="20"/>
        </w:rPr>
        <w:t>troops who</w:t>
      </w:r>
      <w:r w:rsidR="009C7FD6" w:rsidRPr="006F267A">
        <w:rPr>
          <w:rFonts w:ascii="Cambria" w:hAnsi="Cambria"/>
          <w:sz w:val="20"/>
          <w:szCs w:val="20"/>
        </w:rPr>
        <w:t xml:space="preserve">, </w:t>
      </w:r>
      <w:r w:rsidR="002762A7" w:rsidRPr="006F267A">
        <w:rPr>
          <w:rFonts w:ascii="Cambria" w:hAnsi="Cambria"/>
          <w:sz w:val="20"/>
          <w:szCs w:val="20"/>
        </w:rPr>
        <w:t xml:space="preserve">without any court order, seized him and </w:t>
      </w:r>
      <w:r w:rsidR="002762A7" w:rsidRPr="00365781">
        <w:rPr>
          <w:rFonts w:ascii="Cambria" w:hAnsi="Cambria"/>
          <w:sz w:val="20"/>
          <w:szCs w:val="20"/>
        </w:rPr>
        <w:t>took him away</w:t>
      </w:r>
      <w:r w:rsidR="002762A7" w:rsidRPr="006F267A">
        <w:rPr>
          <w:rFonts w:ascii="Cambria" w:hAnsi="Cambria"/>
          <w:sz w:val="20"/>
          <w:szCs w:val="20"/>
        </w:rPr>
        <w:t xml:space="preserve"> together with 14 other people who had also been captured in the area</w:t>
      </w:r>
      <w:r w:rsidR="009C7FD6" w:rsidRPr="006F267A">
        <w:rPr>
          <w:rFonts w:ascii="Cambria" w:hAnsi="Cambria"/>
          <w:sz w:val="20"/>
          <w:szCs w:val="20"/>
        </w:rPr>
        <w:t xml:space="preserve">. </w:t>
      </w:r>
      <w:r w:rsidR="002762A7" w:rsidRPr="006F267A">
        <w:rPr>
          <w:rFonts w:ascii="Cambria" w:hAnsi="Cambria"/>
          <w:sz w:val="20"/>
          <w:szCs w:val="20"/>
        </w:rPr>
        <w:t>During the course of that day</w:t>
      </w:r>
      <w:r w:rsidR="009C7FD6" w:rsidRPr="006F267A">
        <w:rPr>
          <w:rFonts w:ascii="Cambria" w:hAnsi="Cambria"/>
          <w:sz w:val="20"/>
          <w:szCs w:val="20"/>
        </w:rPr>
        <w:t xml:space="preserve">, </w:t>
      </w:r>
      <w:r w:rsidR="002762A7" w:rsidRPr="006F267A">
        <w:rPr>
          <w:rFonts w:ascii="Cambria" w:hAnsi="Cambria"/>
          <w:sz w:val="20"/>
          <w:szCs w:val="20"/>
        </w:rPr>
        <w:t xml:space="preserve">all the </w:t>
      </w:r>
      <w:r w:rsidR="001F686C">
        <w:rPr>
          <w:rFonts w:ascii="Cambria" w:hAnsi="Cambria"/>
          <w:sz w:val="20"/>
          <w:szCs w:val="20"/>
        </w:rPr>
        <w:t xml:space="preserve">locals </w:t>
      </w:r>
      <w:r w:rsidR="002762A7" w:rsidRPr="006F267A">
        <w:rPr>
          <w:rFonts w:ascii="Cambria" w:hAnsi="Cambria"/>
          <w:sz w:val="20"/>
          <w:szCs w:val="20"/>
        </w:rPr>
        <w:t xml:space="preserve">being held were freed with the exception of the alleged victim and </w:t>
      </w:r>
      <w:r w:rsidR="009C7FD6" w:rsidRPr="006F267A">
        <w:rPr>
          <w:rFonts w:ascii="Cambria" w:hAnsi="Cambria"/>
          <w:sz w:val="20"/>
          <w:szCs w:val="20"/>
        </w:rPr>
        <w:t xml:space="preserve">Oreste de Jesús Morales, </w:t>
      </w:r>
      <w:r w:rsidR="002762A7" w:rsidRPr="006F267A">
        <w:rPr>
          <w:rFonts w:ascii="Cambria" w:hAnsi="Cambria"/>
          <w:sz w:val="20"/>
          <w:szCs w:val="20"/>
        </w:rPr>
        <w:t xml:space="preserve">who both remained in captivity close to some stables located in </w:t>
      </w:r>
      <w:r w:rsidR="009C7FD6" w:rsidRPr="006F267A">
        <w:rPr>
          <w:rFonts w:ascii="Cambria" w:hAnsi="Cambria"/>
          <w:sz w:val="20"/>
          <w:szCs w:val="20"/>
        </w:rPr>
        <w:t xml:space="preserve">Vereda Boquerón. </w:t>
      </w:r>
      <w:r w:rsidR="006F7A15" w:rsidRPr="006F267A">
        <w:rPr>
          <w:rFonts w:ascii="Cambria" w:hAnsi="Cambria"/>
          <w:sz w:val="20"/>
          <w:szCs w:val="20"/>
        </w:rPr>
        <w:t>They indicate that they were violently assaulted and subjected to torture there</w:t>
      </w:r>
      <w:r w:rsidR="009C7FD6" w:rsidRPr="006F267A">
        <w:rPr>
          <w:rFonts w:ascii="Cambria" w:hAnsi="Cambria"/>
          <w:sz w:val="20"/>
          <w:szCs w:val="20"/>
        </w:rPr>
        <w:t xml:space="preserve">, </w:t>
      </w:r>
      <w:r w:rsidR="006F7A15" w:rsidRPr="006F267A">
        <w:rPr>
          <w:rFonts w:ascii="Cambria" w:hAnsi="Cambria"/>
          <w:sz w:val="20"/>
          <w:szCs w:val="20"/>
        </w:rPr>
        <w:t xml:space="preserve">as local residents described hearing screams, crying, </w:t>
      </w:r>
      <w:r w:rsidR="007833F3" w:rsidRPr="006F267A">
        <w:rPr>
          <w:rFonts w:ascii="Cambria" w:hAnsi="Cambria"/>
          <w:sz w:val="20"/>
          <w:szCs w:val="20"/>
        </w:rPr>
        <w:t xml:space="preserve">and </w:t>
      </w:r>
      <w:r w:rsidR="006F7A15" w:rsidRPr="006F267A">
        <w:rPr>
          <w:rFonts w:ascii="Cambria" w:hAnsi="Cambria"/>
          <w:sz w:val="20"/>
          <w:szCs w:val="20"/>
        </w:rPr>
        <w:t xml:space="preserve">moans </w:t>
      </w:r>
      <w:r w:rsidR="007833F3" w:rsidRPr="006F267A">
        <w:rPr>
          <w:rFonts w:ascii="Cambria" w:hAnsi="Cambria"/>
          <w:sz w:val="20"/>
          <w:szCs w:val="20"/>
        </w:rPr>
        <w:t xml:space="preserve">that night, </w:t>
      </w:r>
      <w:r w:rsidR="006F7A15" w:rsidRPr="006F267A">
        <w:rPr>
          <w:rFonts w:ascii="Cambria" w:hAnsi="Cambria"/>
          <w:sz w:val="20"/>
          <w:szCs w:val="20"/>
        </w:rPr>
        <w:t xml:space="preserve">and the firing of shots </w:t>
      </w:r>
      <w:r w:rsidR="007833F3" w:rsidRPr="006F267A">
        <w:rPr>
          <w:rFonts w:ascii="Cambria" w:hAnsi="Cambria"/>
          <w:sz w:val="20"/>
          <w:szCs w:val="20"/>
        </w:rPr>
        <w:t xml:space="preserve">in </w:t>
      </w:r>
      <w:r w:rsidR="006F7A15" w:rsidRPr="006F267A">
        <w:rPr>
          <w:rFonts w:ascii="Cambria" w:hAnsi="Cambria"/>
          <w:sz w:val="20"/>
          <w:szCs w:val="20"/>
        </w:rPr>
        <w:t>the early hours of the following morning</w:t>
      </w:r>
      <w:r w:rsidR="009C7FD6" w:rsidRPr="006F267A">
        <w:rPr>
          <w:rFonts w:ascii="Cambria" w:hAnsi="Cambria"/>
          <w:sz w:val="20"/>
          <w:szCs w:val="20"/>
        </w:rPr>
        <w:t xml:space="preserve">. </w:t>
      </w:r>
    </w:p>
    <w:p w:rsidR="009C7FD6" w:rsidRPr="006F267A" w:rsidRDefault="00C80BDD" w:rsidP="009C7F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Cambria" w:hAnsi="Cambria"/>
          <w:sz w:val="20"/>
          <w:szCs w:val="20"/>
        </w:rPr>
        <w:t>Later on</w:t>
      </w:r>
      <w:r w:rsidR="009C7FD6" w:rsidRPr="006F267A">
        <w:rPr>
          <w:rFonts w:ascii="Cambria" w:hAnsi="Cambria"/>
          <w:sz w:val="20"/>
          <w:szCs w:val="20"/>
        </w:rPr>
        <w:t xml:space="preserve">, </w:t>
      </w:r>
      <w:r w:rsidR="009D7397">
        <w:rPr>
          <w:rFonts w:ascii="Cambria" w:hAnsi="Cambria"/>
          <w:sz w:val="20"/>
          <w:szCs w:val="20"/>
        </w:rPr>
        <w:t>on the afternoon of March 14</w:t>
      </w:r>
      <w:r w:rsidR="009D7397" w:rsidRPr="009D7397">
        <w:rPr>
          <w:rFonts w:ascii="Cambria" w:hAnsi="Cambria"/>
          <w:sz w:val="20"/>
          <w:szCs w:val="20"/>
          <w:vertAlign w:val="superscript"/>
        </w:rPr>
        <w:t>th</w:t>
      </w:r>
      <w:r w:rsidRPr="006F267A">
        <w:rPr>
          <w:rFonts w:ascii="Cambria" w:hAnsi="Cambria"/>
          <w:sz w:val="20"/>
          <w:szCs w:val="20"/>
        </w:rPr>
        <w:t xml:space="preserve">, the bodies were carried in a military helicopter to the </w:t>
      </w:r>
      <w:r w:rsidR="009366FA">
        <w:rPr>
          <w:rFonts w:ascii="Cambria" w:hAnsi="Cambria"/>
          <w:sz w:val="20"/>
          <w:szCs w:val="20"/>
        </w:rPr>
        <w:t xml:space="preserve">municipality </w:t>
      </w:r>
      <w:r w:rsidRPr="006F267A">
        <w:rPr>
          <w:rFonts w:ascii="Cambria" w:hAnsi="Cambria"/>
          <w:sz w:val="20"/>
          <w:szCs w:val="20"/>
        </w:rPr>
        <w:t xml:space="preserve">of </w:t>
      </w:r>
      <w:r w:rsidR="009C7FD6" w:rsidRPr="006F267A">
        <w:rPr>
          <w:rFonts w:ascii="Cambria" w:hAnsi="Cambria"/>
          <w:sz w:val="20"/>
          <w:szCs w:val="20"/>
        </w:rPr>
        <w:t xml:space="preserve">Rionegro, </w:t>
      </w:r>
      <w:r w:rsidRPr="006F267A">
        <w:rPr>
          <w:rFonts w:ascii="Cambria" w:hAnsi="Cambria"/>
          <w:sz w:val="20"/>
          <w:szCs w:val="20"/>
        </w:rPr>
        <w:t xml:space="preserve">where they were presented as </w:t>
      </w:r>
      <w:r w:rsidR="00183D64">
        <w:rPr>
          <w:rFonts w:ascii="Cambria" w:hAnsi="Cambria"/>
          <w:sz w:val="20"/>
          <w:szCs w:val="20"/>
        </w:rPr>
        <w:t>members</w:t>
      </w:r>
      <w:r w:rsidRPr="006F267A">
        <w:rPr>
          <w:rFonts w:ascii="Cambria" w:hAnsi="Cambria"/>
          <w:sz w:val="20"/>
          <w:szCs w:val="20"/>
        </w:rPr>
        <w:t xml:space="preserve"> of the National Liberation Army </w:t>
      </w:r>
      <w:r w:rsidR="009C7FD6" w:rsidRPr="006F267A">
        <w:rPr>
          <w:rFonts w:ascii="Cambria" w:hAnsi="Cambria"/>
          <w:sz w:val="20"/>
          <w:szCs w:val="20"/>
        </w:rPr>
        <w:t xml:space="preserve">(ELN) </w:t>
      </w:r>
      <w:r w:rsidRPr="006F267A">
        <w:rPr>
          <w:rFonts w:ascii="Cambria" w:hAnsi="Cambria"/>
          <w:sz w:val="20"/>
          <w:szCs w:val="20"/>
        </w:rPr>
        <w:t>who had died in combat</w:t>
      </w:r>
      <w:r w:rsidR="009C7FD6" w:rsidRPr="006F267A">
        <w:rPr>
          <w:rFonts w:ascii="Cambria" w:hAnsi="Cambria"/>
          <w:sz w:val="20"/>
          <w:szCs w:val="20"/>
        </w:rPr>
        <w:t xml:space="preserve">. </w:t>
      </w:r>
      <w:r w:rsidR="00EB3003" w:rsidRPr="006F267A">
        <w:rPr>
          <w:rFonts w:ascii="Cambria" w:hAnsi="Cambria"/>
          <w:sz w:val="20"/>
          <w:szCs w:val="20"/>
        </w:rPr>
        <w:t>According to the petitioners</w:t>
      </w:r>
      <w:r w:rsidR="009C7FD6" w:rsidRPr="006F267A">
        <w:rPr>
          <w:rFonts w:ascii="Cambria" w:hAnsi="Cambria"/>
          <w:sz w:val="20"/>
          <w:szCs w:val="20"/>
        </w:rPr>
        <w:t xml:space="preserve">, </w:t>
      </w:r>
      <w:r w:rsidR="00EB3003" w:rsidRPr="006F267A">
        <w:rPr>
          <w:rFonts w:ascii="Cambria" w:hAnsi="Cambria"/>
          <w:sz w:val="20"/>
          <w:szCs w:val="20"/>
        </w:rPr>
        <w:t xml:space="preserve">it was not until </w:t>
      </w:r>
      <w:r w:rsidR="006F267A">
        <w:rPr>
          <w:rFonts w:ascii="Cambria" w:hAnsi="Cambria"/>
          <w:sz w:val="20"/>
          <w:szCs w:val="20"/>
        </w:rPr>
        <w:t>March 17</w:t>
      </w:r>
      <w:r w:rsidR="006F267A" w:rsidRPr="006F267A">
        <w:rPr>
          <w:rFonts w:ascii="Cambria" w:hAnsi="Cambria"/>
          <w:sz w:val="20"/>
          <w:szCs w:val="20"/>
          <w:vertAlign w:val="superscript"/>
        </w:rPr>
        <w:t>th</w:t>
      </w:r>
      <w:r w:rsidR="006F267A">
        <w:rPr>
          <w:rFonts w:ascii="Cambria" w:hAnsi="Cambria"/>
          <w:sz w:val="20"/>
          <w:szCs w:val="20"/>
        </w:rPr>
        <w:t xml:space="preserve"> </w:t>
      </w:r>
      <w:r w:rsidR="00183D64">
        <w:rPr>
          <w:rFonts w:ascii="Cambria" w:hAnsi="Cambria"/>
          <w:sz w:val="20"/>
          <w:szCs w:val="20"/>
        </w:rPr>
        <w:t>that his</w:t>
      </w:r>
      <w:r w:rsidR="00EB3003" w:rsidRPr="006F267A">
        <w:rPr>
          <w:rFonts w:ascii="Cambria" w:hAnsi="Cambria"/>
          <w:sz w:val="20"/>
          <w:szCs w:val="20"/>
        </w:rPr>
        <w:t xml:space="preserve"> family </w:t>
      </w:r>
      <w:r w:rsidR="00183D64">
        <w:rPr>
          <w:rFonts w:ascii="Cambria" w:hAnsi="Cambria"/>
          <w:sz w:val="20"/>
          <w:szCs w:val="20"/>
        </w:rPr>
        <w:t>noticed</w:t>
      </w:r>
      <w:r w:rsidR="00EB3003" w:rsidRPr="006F267A">
        <w:rPr>
          <w:rFonts w:ascii="Cambria" w:hAnsi="Cambria"/>
          <w:sz w:val="20"/>
          <w:szCs w:val="20"/>
        </w:rPr>
        <w:t xml:space="preserve"> that the body of the alleged victim was lying in the morgue of </w:t>
      </w:r>
      <w:r w:rsidR="009C7FD6" w:rsidRPr="006F267A">
        <w:rPr>
          <w:rFonts w:ascii="Cambria" w:hAnsi="Cambria"/>
          <w:sz w:val="20"/>
          <w:szCs w:val="20"/>
        </w:rPr>
        <w:t xml:space="preserve">Rionegro, </w:t>
      </w:r>
      <w:r w:rsidR="00EB3003" w:rsidRPr="006F267A">
        <w:rPr>
          <w:rFonts w:ascii="Cambria" w:hAnsi="Cambria"/>
          <w:sz w:val="20"/>
          <w:szCs w:val="20"/>
        </w:rPr>
        <w:t xml:space="preserve">where a </w:t>
      </w:r>
      <w:r w:rsidR="00EB3003" w:rsidRPr="009825B2">
        <w:rPr>
          <w:rFonts w:ascii="Cambria" w:hAnsi="Cambria"/>
          <w:sz w:val="20"/>
          <w:szCs w:val="20"/>
        </w:rPr>
        <w:t>formal</w:t>
      </w:r>
      <w:r w:rsidR="00EB3003" w:rsidRPr="006F267A">
        <w:rPr>
          <w:rFonts w:ascii="Cambria" w:hAnsi="Cambria"/>
          <w:sz w:val="20"/>
          <w:szCs w:val="20"/>
        </w:rPr>
        <w:t xml:space="preserve"> autopsy had been carried out</w:t>
      </w:r>
      <w:r w:rsidR="009C7FD6" w:rsidRPr="006F267A">
        <w:rPr>
          <w:rFonts w:ascii="Cambria" w:hAnsi="Cambria"/>
          <w:sz w:val="20"/>
          <w:szCs w:val="20"/>
        </w:rPr>
        <w:t xml:space="preserve">. </w:t>
      </w:r>
      <w:r w:rsidR="00F72BFA" w:rsidRPr="006F267A">
        <w:rPr>
          <w:rFonts w:ascii="Cambria" w:hAnsi="Cambria"/>
          <w:sz w:val="20"/>
          <w:szCs w:val="20"/>
        </w:rPr>
        <w:t xml:space="preserve">They indicate </w:t>
      </w:r>
      <w:r w:rsidR="00D978A6" w:rsidRPr="006F267A">
        <w:rPr>
          <w:rFonts w:ascii="Cambria" w:hAnsi="Cambria"/>
          <w:sz w:val="20"/>
          <w:szCs w:val="20"/>
        </w:rPr>
        <w:t xml:space="preserve">that </w:t>
      </w:r>
      <w:r w:rsidR="00F72BFA" w:rsidRPr="006F267A">
        <w:rPr>
          <w:rFonts w:ascii="Cambria" w:hAnsi="Cambria"/>
          <w:sz w:val="20"/>
          <w:szCs w:val="20"/>
        </w:rPr>
        <w:t xml:space="preserve">the </w:t>
      </w:r>
      <w:r w:rsidR="00D978A6" w:rsidRPr="006F267A">
        <w:rPr>
          <w:rFonts w:ascii="Cambria" w:hAnsi="Cambria"/>
          <w:sz w:val="20"/>
          <w:szCs w:val="20"/>
        </w:rPr>
        <w:t>intense military activity taking place in the area</w:t>
      </w:r>
      <w:r w:rsidR="009C7FD6" w:rsidRPr="006F267A">
        <w:rPr>
          <w:rFonts w:ascii="Cambria" w:hAnsi="Cambria"/>
          <w:sz w:val="20"/>
          <w:szCs w:val="20"/>
        </w:rPr>
        <w:t xml:space="preserve">, </w:t>
      </w:r>
      <w:r w:rsidR="00D978A6" w:rsidRPr="006F267A">
        <w:rPr>
          <w:rFonts w:ascii="Cambria" w:hAnsi="Cambria"/>
          <w:sz w:val="20"/>
          <w:szCs w:val="20"/>
        </w:rPr>
        <w:t xml:space="preserve">the hostile acts committed against local farmers, and the violent death of the alleged victim forced his family to move away from </w:t>
      </w:r>
      <w:r w:rsidR="009C7FD6" w:rsidRPr="006F267A">
        <w:rPr>
          <w:rFonts w:ascii="Cambria" w:hAnsi="Cambria"/>
          <w:sz w:val="20"/>
          <w:szCs w:val="20"/>
        </w:rPr>
        <w:t xml:space="preserve">Vereda Boquerón </w:t>
      </w:r>
      <w:r w:rsidR="00D978A6" w:rsidRPr="006F267A">
        <w:rPr>
          <w:rFonts w:ascii="Cambria" w:hAnsi="Cambria"/>
          <w:sz w:val="20"/>
          <w:szCs w:val="20"/>
        </w:rPr>
        <w:t xml:space="preserve">to the urban area of the </w:t>
      </w:r>
      <w:r w:rsidR="009366FA">
        <w:rPr>
          <w:rFonts w:ascii="Cambria" w:hAnsi="Cambria"/>
          <w:sz w:val="20"/>
          <w:szCs w:val="20"/>
        </w:rPr>
        <w:t>municipality</w:t>
      </w:r>
      <w:r w:rsidR="00D978A6" w:rsidRPr="006F267A">
        <w:rPr>
          <w:rFonts w:ascii="Cambria" w:hAnsi="Cambria"/>
          <w:sz w:val="20"/>
          <w:szCs w:val="20"/>
        </w:rPr>
        <w:t xml:space="preserve"> of </w:t>
      </w:r>
      <w:r w:rsidR="009C7FD6" w:rsidRPr="006F267A">
        <w:rPr>
          <w:rFonts w:ascii="Cambria" w:hAnsi="Cambria"/>
          <w:sz w:val="20"/>
          <w:szCs w:val="20"/>
        </w:rPr>
        <w:t xml:space="preserve">San Francisco. </w:t>
      </w:r>
      <w:r w:rsidR="00D978A6" w:rsidRPr="006F267A">
        <w:rPr>
          <w:rFonts w:ascii="Cambria" w:hAnsi="Cambria"/>
          <w:sz w:val="20"/>
          <w:szCs w:val="20"/>
        </w:rPr>
        <w:t>Once there</w:t>
      </w:r>
      <w:r w:rsidR="009C7FD6" w:rsidRPr="006F267A">
        <w:rPr>
          <w:rFonts w:ascii="Cambria" w:hAnsi="Cambria"/>
          <w:sz w:val="20"/>
          <w:szCs w:val="20"/>
        </w:rPr>
        <w:t xml:space="preserve">, </w:t>
      </w:r>
      <w:r w:rsidR="00D978A6" w:rsidRPr="006F267A">
        <w:rPr>
          <w:rFonts w:ascii="Cambria" w:hAnsi="Cambria"/>
          <w:sz w:val="20"/>
          <w:szCs w:val="20"/>
        </w:rPr>
        <w:t xml:space="preserve">they reported what had occurred to the </w:t>
      </w:r>
      <w:r w:rsidR="009C7FD6" w:rsidRPr="004E2DA7">
        <w:rPr>
          <w:rFonts w:ascii="Cambria" w:hAnsi="Cambria"/>
          <w:sz w:val="20"/>
          <w:szCs w:val="20"/>
        </w:rPr>
        <w:t>Municipal</w:t>
      </w:r>
      <w:r w:rsidR="00075705" w:rsidRPr="004E2DA7">
        <w:rPr>
          <w:rFonts w:ascii="Cambria" w:hAnsi="Cambria"/>
          <w:sz w:val="20"/>
          <w:szCs w:val="20"/>
        </w:rPr>
        <w:t xml:space="preserve"> Attorney</w:t>
      </w:r>
      <w:r w:rsidR="009C7FD6" w:rsidRPr="006F267A">
        <w:rPr>
          <w:rFonts w:ascii="Cambria" w:hAnsi="Cambria"/>
          <w:sz w:val="20"/>
          <w:szCs w:val="20"/>
        </w:rPr>
        <w:t xml:space="preserve">; </w:t>
      </w:r>
      <w:r w:rsidR="00650435" w:rsidRPr="006F267A">
        <w:rPr>
          <w:rFonts w:ascii="Cambria" w:hAnsi="Cambria"/>
          <w:sz w:val="20"/>
          <w:szCs w:val="20"/>
        </w:rPr>
        <w:t>however</w:t>
      </w:r>
      <w:r w:rsidR="009C7FD6" w:rsidRPr="006F267A">
        <w:rPr>
          <w:rFonts w:ascii="Cambria" w:hAnsi="Cambria"/>
          <w:sz w:val="20"/>
          <w:szCs w:val="20"/>
        </w:rPr>
        <w:t xml:space="preserve">, </w:t>
      </w:r>
      <w:r w:rsidR="006F267A">
        <w:rPr>
          <w:rFonts w:ascii="Cambria" w:hAnsi="Cambria"/>
          <w:sz w:val="20"/>
          <w:szCs w:val="20"/>
        </w:rPr>
        <w:t>on March 31</w:t>
      </w:r>
      <w:r w:rsidR="006F267A" w:rsidRPr="006F267A">
        <w:rPr>
          <w:rFonts w:ascii="Cambria" w:hAnsi="Cambria"/>
          <w:sz w:val="20"/>
          <w:szCs w:val="20"/>
          <w:vertAlign w:val="superscript"/>
        </w:rPr>
        <w:t>st</w:t>
      </w:r>
      <w:r w:rsidR="00650435" w:rsidRPr="006F267A">
        <w:rPr>
          <w:rFonts w:ascii="Cambria" w:hAnsi="Cambria"/>
          <w:sz w:val="20"/>
          <w:szCs w:val="20"/>
        </w:rPr>
        <w:t xml:space="preserve"> </w:t>
      </w:r>
      <w:r w:rsidR="009C7FD6" w:rsidRPr="006F267A">
        <w:rPr>
          <w:rFonts w:ascii="Cambria" w:hAnsi="Cambria"/>
          <w:sz w:val="20"/>
          <w:szCs w:val="20"/>
        </w:rPr>
        <w:t xml:space="preserve">2003 </w:t>
      </w:r>
      <w:r w:rsidR="00650435" w:rsidRPr="006F267A">
        <w:rPr>
          <w:rFonts w:ascii="Cambria" w:hAnsi="Cambria"/>
          <w:sz w:val="20"/>
          <w:szCs w:val="20"/>
        </w:rPr>
        <w:t xml:space="preserve">the Public Prosecutor’s Office </w:t>
      </w:r>
      <w:r w:rsidR="009C7FD6" w:rsidRPr="006F267A">
        <w:rPr>
          <w:rFonts w:ascii="Cambria" w:hAnsi="Cambria"/>
          <w:sz w:val="20"/>
          <w:szCs w:val="20"/>
        </w:rPr>
        <w:t xml:space="preserve">131 </w:t>
      </w:r>
      <w:r w:rsidR="00650435" w:rsidRPr="006F267A">
        <w:rPr>
          <w:rFonts w:ascii="Cambria" w:hAnsi="Cambria"/>
          <w:sz w:val="20"/>
          <w:szCs w:val="20"/>
        </w:rPr>
        <w:t xml:space="preserve">of </w:t>
      </w:r>
      <w:r w:rsidR="009C7FD6" w:rsidRPr="006F267A">
        <w:rPr>
          <w:rFonts w:ascii="Cambria" w:hAnsi="Cambria"/>
          <w:sz w:val="20"/>
          <w:szCs w:val="20"/>
        </w:rPr>
        <w:t xml:space="preserve">Antioquia </w:t>
      </w:r>
      <w:r w:rsidR="00700F43" w:rsidRPr="006F267A">
        <w:rPr>
          <w:rFonts w:ascii="Cambria" w:hAnsi="Cambria"/>
          <w:sz w:val="20"/>
          <w:szCs w:val="20"/>
        </w:rPr>
        <w:t xml:space="preserve">remitted the investigation to </w:t>
      </w:r>
      <w:r w:rsidR="00713F20" w:rsidRPr="006F267A">
        <w:rPr>
          <w:rFonts w:ascii="Cambria" w:hAnsi="Cambria"/>
          <w:sz w:val="20"/>
          <w:szCs w:val="20"/>
        </w:rPr>
        <w:t xml:space="preserve">Court </w:t>
      </w:r>
      <w:r w:rsidR="0047557F" w:rsidRPr="006F267A">
        <w:rPr>
          <w:rFonts w:ascii="Cambria" w:hAnsi="Cambria"/>
          <w:sz w:val="20"/>
          <w:szCs w:val="20"/>
        </w:rPr>
        <w:t xml:space="preserve">24 </w:t>
      </w:r>
      <w:r w:rsidR="00713F20" w:rsidRPr="006F267A">
        <w:rPr>
          <w:rFonts w:ascii="Cambria" w:hAnsi="Cambria"/>
          <w:sz w:val="20"/>
          <w:szCs w:val="20"/>
        </w:rPr>
        <w:t>of Preliminary Military Criminal Proceedings</w:t>
      </w:r>
      <w:r w:rsidR="009C7FD6" w:rsidRPr="006F267A">
        <w:rPr>
          <w:rFonts w:ascii="Cambria" w:hAnsi="Cambria"/>
          <w:sz w:val="20"/>
          <w:szCs w:val="20"/>
        </w:rPr>
        <w:t xml:space="preserve">. </w:t>
      </w:r>
    </w:p>
    <w:p w:rsidR="009C7FD6" w:rsidRPr="006F267A" w:rsidRDefault="009245EF" w:rsidP="006F26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Cambria" w:hAnsi="Cambria"/>
          <w:sz w:val="20"/>
          <w:szCs w:val="20"/>
        </w:rPr>
        <w:t xml:space="preserve">They state that the </w:t>
      </w:r>
      <w:r w:rsidR="006F267A">
        <w:rPr>
          <w:rFonts w:ascii="Cambria" w:hAnsi="Cambria"/>
          <w:sz w:val="20"/>
          <w:szCs w:val="20"/>
        </w:rPr>
        <w:t>case</w:t>
      </w:r>
      <w:r w:rsidRPr="006F267A">
        <w:rPr>
          <w:rFonts w:ascii="Cambria" w:hAnsi="Cambria"/>
          <w:sz w:val="20"/>
          <w:szCs w:val="20"/>
        </w:rPr>
        <w:t xml:space="preserve"> did not </w:t>
      </w:r>
      <w:r w:rsidR="00DF684D">
        <w:rPr>
          <w:rFonts w:ascii="Cambria" w:hAnsi="Cambria"/>
          <w:sz w:val="20"/>
          <w:szCs w:val="20"/>
        </w:rPr>
        <w:t>advanced</w:t>
      </w:r>
      <w:r w:rsidR="009D43C9" w:rsidRPr="006F267A">
        <w:rPr>
          <w:rFonts w:ascii="Cambria" w:hAnsi="Cambria"/>
          <w:sz w:val="20"/>
          <w:szCs w:val="20"/>
        </w:rPr>
        <w:t xml:space="preserve"> at all in the military </w:t>
      </w:r>
      <w:r w:rsidR="009D7397">
        <w:rPr>
          <w:rFonts w:ascii="Cambria" w:hAnsi="Cambria"/>
          <w:sz w:val="20"/>
          <w:szCs w:val="20"/>
        </w:rPr>
        <w:t>justice system</w:t>
      </w:r>
      <w:r w:rsidR="009D43C9" w:rsidRPr="006F267A">
        <w:rPr>
          <w:rFonts w:ascii="Cambria" w:hAnsi="Cambria"/>
          <w:sz w:val="20"/>
          <w:szCs w:val="20"/>
        </w:rPr>
        <w:t xml:space="preserve"> given that</w:t>
      </w:r>
      <w:r w:rsidR="006F267A">
        <w:rPr>
          <w:rFonts w:ascii="Cambria" w:hAnsi="Cambria"/>
          <w:sz w:val="20"/>
          <w:szCs w:val="20"/>
        </w:rPr>
        <w:t xml:space="preserve"> on February 15</w:t>
      </w:r>
      <w:r w:rsidR="006F267A" w:rsidRPr="006F267A">
        <w:rPr>
          <w:rFonts w:ascii="Cambria" w:hAnsi="Cambria"/>
          <w:sz w:val="20"/>
          <w:szCs w:val="20"/>
          <w:vertAlign w:val="superscript"/>
        </w:rPr>
        <w:t>th</w:t>
      </w:r>
      <w:r w:rsidR="00231860">
        <w:rPr>
          <w:rFonts w:ascii="Cambria" w:hAnsi="Cambria"/>
          <w:sz w:val="20"/>
          <w:szCs w:val="20"/>
        </w:rPr>
        <w:t xml:space="preserve">, </w:t>
      </w:r>
      <w:r w:rsidR="009C7FD6" w:rsidRPr="006F267A">
        <w:rPr>
          <w:rFonts w:ascii="Cambria" w:hAnsi="Cambria"/>
          <w:sz w:val="20"/>
          <w:szCs w:val="20"/>
        </w:rPr>
        <w:t xml:space="preserve">2005, </w:t>
      </w:r>
      <w:r w:rsidRPr="006F267A">
        <w:rPr>
          <w:rFonts w:ascii="Cambria" w:hAnsi="Cambria"/>
          <w:sz w:val="20"/>
          <w:szCs w:val="20"/>
        </w:rPr>
        <w:t xml:space="preserve">Court </w:t>
      </w:r>
      <w:r w:rsidR="009C7FD6" w:rsidRPr="006F267A">
        <w:rPr>
          <w:rFonts w:ascii="Cambria" w:hAnsi="Cambria"/>
          <w:sz w:val="20"/>
          <w:szCs w:val="20"/>
        </w:rPr>
        <w:t xml:space="preserve">24 </w:t>
      </w:r>
      <w:r w:rsidRPr="006F267A">
        <w:rPr>
          <w:rFonts w:ascii="Cambria" w:hAnsi="Cambria"/>
          <w:sz w:val="20"/>
          <w:szCs w:val="20"/>
        </w:rPr>
        <w:t xml:space="preserve">of Preliminary Military Criminal Proceedings decided to abstain from opening a formal investigation and ordered the case to be </w:t>
      </w:r>
      <w:r w:rsidR="006F267A">
        <w:rPr>
          <w:rFonts w:ascii="Cambria" w:hAnsi="Cambria"/>
          <w:sz w:val="20"/>
          <w:szCs w:val="20"/>
        </w:rPr>
        <w:t>closed</w:t>
      </w:r>
      <w:r w:rsidR="009C7FD6" w:rsidRPr="006F267A">
        <w:rPr>
          <w:rFonts w:ascii="Cambria" w:hAnsi="Cambria"/>
          <w:sz w:val="20"/>
          <w:szCs w:val="20"/>
        </w:rPr>
        <w:t xml:space="preserve">. </w:t>
      </w:r>
      <w:r w:rsidRPr="006F267A">
        <w:rPr>
          <w:rFonts w:ascii="Cambria" w:hAnsi="Cambria"/>
          <w:sz w:val="20"/>
          <w:szCs w:val="20"/>
        </w:rPr>
        <w:t>Following requests by the petitioners</w:t>
      </w:r>
      <w:r w:rsidR="009C7FD6" w:rsidRPr="006F267A">
        <w:rPr>
          <w:rFonts w:ascii="Cambria" w:hAnsi="Cambria"/>
          <w:sz w:val="20"/>
          <w:szCs w:val="20"/>
        </w:rPr>
        <w:t xml:space="preserve">, </w:t>
      </w:r>
      <w:r w:rsidR="006F267A">
        <w:rPr>
          <w:rFonts w:ascii="Cambria" w:hAnsi="Cambria"/>
          <w:sz w:val="20"/>
          <w:szCs w:val="20"/>
        </w:rPr>
        <w:t>on March 17</w:t>
      </w:r>
      <w:r w:rsidR="006F267A" w:rsidRPr="006F267A">
        <w:rPr>
          <w:rFonts w:ascii="Cambria" w:hAnsi="Cambria"/>
          <w:sz w:val="20"/>
          <w:szCs w:val="20"/>
          <w:vertAlign w:val="superscript"/>
        </w:rPr>
        <w:t>th</w:t>
      </w:r>
      <w:r w:rsidRPr="006F267A">
        <w:rPr>
          <w:rFonts w:ascii="Cambria" w:hAnsi="Cambria"/>
          <w:sz w:val="20"/>
          <w:szCs w:val="20"/>
        </w:rPr>
        <w:t xml:space="preserve"> </w:t>
      </w:r>
      <w:r w:rsidR="009C7FD6" w:rsidRPr="006F267A">
        <w:rPr>
          <w:rFonts w:ascii="Cambria" w:hAnsi="Cambria"/>
          <w:sz w:val="20"/>
          <w:szCs w:val="20"/>
        </w:rPr>
        <w:t xml:space="preserve">2010 </w:t>
      </w:r>
      <w:r w:rsidRPr="006F267A">
        <w:rPr>
          <w:rFonts w:ascii="Cambria" w:hAnsi="Cambria"/>
          <w:sz w:val="20"/>
          <w:szCs w:val="20"/>
        </w:rPr>
        <w:t>the military court authorized the family members of the alleged victims to have access to the file and ordered the case to be reopened</w:t>
      </w:r>
      <w:r w:rsidR="009C7FD6" w:rsidRPr="006F267A">
        <w:rPr>
          <w:rFonts w:ascii="Cambria" w:hAnsi="Cambria"/>
          <w:sz w:val="20"/>
          <w:szCs w:val="20"/>
        </w:rPr>
        <w:t xml:space="preserve">. </w:t>
      </w:r>
      <w:r w:rsidR="002C1058" w:rsidRPr="006F267A">
        <w:rPr>
          <w:rFonts w:ascii="Cambria" w:hAnsi="Cambria"/>
          <w:sz w:val="20"/>
          <w:szCs w:val="20"/>
        </w:rPr>
        <w:t xml:space="preserve">They recount that the </w:t>
      </w:r>
      <w:r w:rsidR="00C979CA" w:rsidRPr="009825B2">
        <w:rPr>
          <w:rFonts w:ascii="Cambria" w:hAnsi="Cambria"/>
          <w:sz w:val="20"/>
          <w:szCs w:val="20"/>
        </w:rPr>
        <w:t>requests</w:t>
      </w:r>
      <w:r w:rsidR="002C1058" w:rsidRPr="006F267A">
        <w:rPr>
          <w:rFonts w:ascii="Cambria" w:hAnsi="Cambria"/>
          <w:sz w:val="20"/>
          <w:szCs w:val="20"/>
        </w:rPr>
        <w:t xml:space="preserve"> made by Legal Representative </w:t>
      </w:r>
      <w:r w:rsidR="009C7FD6" w:rsidRPr="006F267A">
        <w:rPr>
          <w:rFonts w:ascii="Cambria" w:hAnsi="Cambria"/>
          <w:sz w:val="20"/>
          <w:szCs w:val="20"/>
        </w:rPr>
        <w:t xml:space="preserve">197 </w:t>
      </w:r>
      <w:r w:rsidR="002C1058" w:rsidRPr="006F267A">
        <w:rPr>
          <w:rFonts w:ascii="Cambria" w:hAnsi="Cambria"/>
          <w:sz w:val="20"/>
          <w:szCs w:val="20"/>
        </w:rPr>
        <w:t>and by Pub</w:t>
      </w:r>
      <w:r w:rsidR="00C979CA" w:rsidRPr="006F267A">
        <w:rPr>
          <w:rFonts w:ascii="Cambria" w:hAnsi="Cambria"/>
          <w:sz w:val="20"/>
          <w:szCs w:val="20"/>
        </w:rPr>
        <w:t>l</w:t>
      </w:r>
      <w:r w:rsidR="002C1058" w:rsidRPr="006F267A">
        <w:rPr>
          <w:rFonts w:ascii="Cambria" w:hAnsi="Cambria"/>
          <w:sz w:val="20"/>
          <w:szCs w:val="20"/>
        </w:rPr>
        <w:t>ic Prosecuto</w:t>
      </w:r>
      <w:r w:rsidR="00C979CA" w:rsidRPr="006F267A">
        <w:rPr>
          <w:rFonts w:ascii="Cambria" w:hAnsi="Cambria"/>
          <w:sz w:val="20"/>
          <w:szCs w:val="20"/>
        </w:rPr>
        <w:t xml:space="preserve">r’s </w:t>
      </w:r>
      <w:r w:rsidR="002C1058" w:rsidRPr="006F267A">
        <w:rPr>
          <w:rFonts w:ascii="Cambria" w:hAnsi="Cambria"/>
          <w:sz w:val="20"/>
          <w:szCs w:val="20"/>
        </w:rPr>
        <w:t xml:space="preserve">Office </w:t>
      </w:r>
      <w:r w:rsidR="009C7FD6" w:rsidRPr="006F267A">
        <w:rPr>
          <w:rFonts w:ascii="Cambria" w:hAnsi="Cambria"/>
          <w:sz w:val="20"/>
          <w:szCs w:val="20"/>
        </w:rPr>
        <w:t xml:space="preserve">37 </w:t>
      </w:r>
      <w:r w:rsidR="002C1058" w:rsidRPr="006F267A">
        <w:rPr>
          <w:rFonts w:ascii="Cambria" w:hAnsi="Cambria"/>
          <w:sz w:val="20"/>
          <w:szCs w:val="20"/>
        </w:rPr>
        <w:t xml:space="preserve">of the Human Rights and International Humanitarian Law Unit for the investigation to be remitted to the ordinary justice system were rejected by the </w:t>
      </w:r>
      <w:r w:rsidR="004E2DA7" w:rsidRPr="000734CF">
        <w:rPr>
          <w:rFonts w:ascii="Cambria" w:hAnsi="Cambria"/>
          <w:sz w:val="20"/>
          <w:szCs w:val="20"/>
        </w:rPr>
        <w:t>Eighth Court</w:t>
      </w:r>
      <w:r w:rsidR="004E2DA7">
        <w:rPr>
          <w:rFonts w:ascii="Cambria" w:hAnsi="Cambria"/>
          <w:sz w:val="20"/>
          <w:szCs w:val="20"/>
        </w:rPr>
        <w:t xml:space="preserve"> </w:t>
      </w:r>
      <w:r w:rsidR="002C1058" w:rsidRPr="006F267A">
        <w:rPr>
          <w:rFonts w:ascii="Cambria" w:hAnsi="Cambria"/>
          <w:sz w:val="20"/>
          <w:szCs w:val="20"/>
        </w:rPr>
        <w:t xml:space="preserve">of Army Brigade </w:t>
      </w:r>
      <w:r w:rsidR="009C7FD6" w:rsidRPr="006F267A">
        <w:rPr>
          <w:rFonts w:ascii="Cambria" w:hAnsi="Cambria"/>
          <w:sz w:val="20"/>
          <w:szCs w:val="20"/>
        </w:rPr>
        <w:t xml:space="preserve">IV </w:t>
      </w:r>
      <w:r w:rsidR="002C1058" w:rsidRPr="006F267A">
        <w:rPr>
          <w:rFonts w:ascii="Cambria" w:hAnsi="Cambria"/>
          <w:sz w:val="20"/>
          <w:szCs w:val="20"/>
        </w:rPr>
        <w:t>on July 21</w:t>
      </w:r>
      <w:r w:rsidR="002C1058" w:rsidRPr="006F267A">
        <w:rPr>
          <w:rFonts w:ascii="Cambria" w:hAnsi="Cambria"/>
          <w:sz w:val="20"/>
          <w:szCs w:val="20"/>
          <w:vertAlign w:val="superscript"/>
        </w:rPr>
        <w:t>st</w:t>
      </w:r>
      <w:r w:rsidR="002C1058" w:rsidRPr="006F267A">
        <w:rPr>
          <w:rFonts w:ascii="Cambria" w:hAnsi="Cambria"/>
          <w:sz w:val="20"/>
          <w:szCs w:val="20"/>
        </w:rPr>
        <w:t xml:space="preserve"> and November 24</w:t>
      </w:r>
      <w:r w:rsidR="002C1058" w:rsidRPr="006F267A">
        <w:rPr>
          <w:rFonts w:ascii="Cambria" w:hAnsi="Cambria"/>
          <w:sz w:val="20"/>
          <w:szCs w:val="20"/>
          <w:vertAlign w:val="superscript"/>
        </w:rPr>
        <w:t>th</w:t>
      </w:r>
      <w:r w:rsidR="002C1058" w:rsidRPr="006F267A">
        <w:rPr>
          <w:rFonts w:ascii="Cambria" w:hAnsi="Cambria"/>
          <w:sz w:val="20"/>
          <w:szCs w:val="20"/>
        </w:rPr>
        <w:t xml:space="preserve"> </w:t>
      </w:r>
      <w:r w:rsidR="009C7FD6" w:rsidRPr="006F267A">
        <w:rPr>
          <w:rFonts w:ascii="Cambria" w:hAnsi="Cambria"/>
          <w:sz w:val="20"/>
          <w:szCs w:val="20"/>
        </w:rPr>
        <w:t xml:space="preserve">2010 </w:t>
      </w:r>
      <w:r w:rsidR="002C1058" w:rsidRPr="006F267A">
        <w:rPr>
          <w:rFonts w:ascii="Cambria" w:hAnsi="Cambria"/>
          <w:sz w:val="20"/>
          <w:szCs w:val="20"/>
        </w:rPr>
        <w:t>respectively</w:t>
      </w:r>
      <w:r w:rsidR="009C7FD6" w:rsidRPr="006F267A">
        <w:rPr>
          <w:rFonts w:ascii="Cambria" w:hAnsi="Cambria"/>
          <w:sz w:val="20"/>
          <w:szCs w:val="20"/>
        </w:rPr>
        <w:t xml:space="preserve">. </w:t>
      </w:r>
      <w:r w:rsidR="00C979CA" w:rsidRPr="006F267A">
        <w:rPr>
          <w:rFonts w:ascii="Cambria" w:hAnsi="Cambria"/>
          <w:sz w:val="20"/>
          <w:szCs w:val="20"/>
        </w:rPr>
        <w:t>In view of this</w:t>
      </w:r>
      <w:r w:rsidR="009C7FD6" w:rsidRPr="006F267A">
        <w:rPr>
          <w:rFonts w:ascii="Cambria" w:hAnsi="Cambria"/>
          <w:sz w:val="20"/>
          <w:szCs w:val="20"/>
        </w:rPr>
        <w:t xml:space="preserve">, </w:t>
      </w:r>
      <w:r w:rsidR="006F267A">
        <w:rPr>
          <w:rFonts w:ascii="Cambria" w:hAnsi="Cambria"/>
          <w:sz w:val="20"/>
          <w:szCs w:val="20"/>
        </w:rPr>
        <w:t>on December 15</w:t>
      </w:r>
      <w:r w:rsidR="006F267A" w:rsidRPr="006F267A">
        <w:rPr>
          <w:rFonts w:ascii="Cambria" w:hAnsi="Cambria"/>
          <w:sz w:val="20"/>
          <w:szCs w:val="20"/>
          <w:vertAlign w:val="superscript"/>
        </w:rPr>
        <w:t>th</w:t>
      </w:r>
      <w:r w:rsidR="006F267A" w:rsidRPr="006F267A">
        <w:rPr>
          <w:rFonts w:ascii="Cambria" w:hAnsi="Cambria"/>
          <w:sz w:val="20"/>
          <w:szCs w:val="20"/>
        </w:rPr>
        <w:t xml:space="preserve"> 2010 </w:t>
      </w:r>
      <w:r w:rsidR="0047557F" w:rsidRPr="006F267A">
        <w:rPr>
          <w:rFonts w:ascii="Cambria" w:hAnsi="Cambria"/>
          <w:sz w:val="20"/>
          <w:szCs w:val="20"/>
        </w:rPr>
        <w:t xml:space="preserve">the Disciplinary Court of the </w:t>
      </w:r>
      <w:r w:rsidR="0047557F" w:rsidRPr="00365781">
        <w:rPr>
          <w:rFonts w:ascii="Cambria" w:hAnsi="Cambria"/>
          <w:sz w:val="20"/>
          <w:szCs w:val="20"/>
        </w:rPr>
        <w:t>Ju</w:t>
      </w:r>
      <w:r w:rsidR="006F267A" w:rsidRPr="00365781">
        <w:rPr>
          <w:rFonts w:ascii="Cambria" w:hAnsi="Cambria"/>
          <w:sz w:val="20"/>
          <w:szCs w:val="20"/>
        </w:rPr>
        <w:t>diciary C</w:t>
      </w:r>
      <w:r w:rsidR="006F267A">
        <w:rPr>
          <w:rFonts w:ascii="Cambria" w:hAnsi="Cambria"/>
          <w:sz w:val="20"/>
          <w:szCs w:val="20"/>
        </w:rPr>
        <w:t xml:space="preserve">ouncil </w:t>
      </w:r>
      <w:r w:rsidR="0047557F" w:rsidRPr="006F267A">
        <w:rPr>
          <w:rFonts w:ascii="Cambria" w:hAnsi="Cambria"/>
          <w:sz w:val="20"/>
          <w:szCs w:val="20"/>
        </w:rPr>
        <w:t>resolve</w:t>
      </w:r>
      <w:r w:rsidR="006F267A">
        <w:rPr>
          <w:rFonts w:ascii="Cambria" w:hAnsi="Cambria"/>
          <w:sz w:val="20"/>
          <w:szCs w:val="20"/>
        </w:rPr>
        <w:t>d</w:t>
      </w:r>
      <w:r w:rsidR="0047557F" w:rsidRPr="006F267A">
        <w:rPr>
          <w:rFonts w:ascii="Cambria" w:hAnsi="Cambria"/>
          <w:sz w:val="20"/>
          <w:szCs w:val="20"/>
        </w:rPr>
        <w:t xml:space="preserve"> the positive conflict of jurisdiction</w:t>
      </w:r>
      <w:r w:rsidR="009C7FD6" w:rsidRPr="006F267A">
        <w:rPr>
          <w:rFonts w:ascii="Cambria" w:hAnsi="Cambria"/>
          <w:sz w:val="20"/>
          <w:szCs w:val="20"/>
        </w:rPr>
        <w:t xml:space="preserve">, </w:t>
      </w:r>
      <w:r w:rsidR="0047557F" w:rsidRPr="006F267A">
        <w:rPr>
          <w:rFonts w:ascii="Cambria" w:hAnsi="Cambria"/>
          <w:sz w:val="20"/>
          <w:szCs w:val="20"/>
        </w:rPr>
        <w:t>ordering that the case be investigated by the military criminal court system</w:t>
      </w:r>
      <w:r w:rsidR="009C7FD6" w:rsidRPr="006F267A">
        <w:rPr>
          <w:rFonts w:ascii="Cambria" w:hAnsi="Cambria"/>
          <w:sz w:val="20"/>
          <w:szCs w:val="20"/>
        </w:rPr>
        <w:t xml:space="preserve">. </w:t>
      </w:r>
      <w:r w:rsidR="0047557F" w:rsidRPr="006F267A">
        <w:rPr>
          <w:rFonts w:ascii="Cambria" w:hAnsi="Cambria"/>
          <w:sz w:val="20"/>
          <w:szCs w:val="20"/>
        </w:rPr>
        <w:t xml:space="preserve">Subsequently, Court 24 of Preliminary Military Criminal Proceedings closed the preliminary inquiry </w:t>
      </w:r>
      <w:r w:rsidR="006F267A">
        <w:rPr>
          <w:rFonts w:ascii="Cambria" w:hAnsi="Cambria"/>
          <w:sz w:val="20"/>
          <w:szCs w:val="20"/>
        </w:rPr>
        <w:t>on May 2</w:t>
      </w:r>
      <w:r w:rsidR="006F267A" w:rsidRPr="006F267A">
        <w:rPr>
          <w:rFonts w:ascii="Cambria" w:hAnsi="Cambria"/>
          <w:sz w:val="20"/>
          <w:szCs w:val="20"/>
          <w:vertAlign w:val="superscript"/>
        </w:rPr>
        <w:t>nd</w:t>
      </w:r>
      <w:r w:rsidR="0047557F" w:rsidRPr="006F267A">
        <w:rPr>
          <w:rFonts w:ascii="Cambria" w:hAnsi="Cambria"/>
          <w:sz w:val="20"/>
          <w:szCs w:val="20"/>
        </w:rPr>
        <w:t xml:space="preserve"> </w:t>
      </w:r>
      <w:r w:rsidR="009C7FD6" w:rsidRPr="006F267A">
        <w:rPr>
          <w:rFonts w:ascii="Cambria" w:hAnsi="Cambria"/>
          <w:sz w:val="20"/>
          <w:szCs w:val="20"/>
        </w:rPr>
        <w:t xml:space="preserve">2011.    </w:t>
      </w:r>
    </w:p>
    <w:p w:rsidR="009C7FD6" w:rsidRPr="006F267A" w:rsidRDefault="00141D86" w:rsidP="009C7F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Cambria" w:hAnsi="Cambria"/>
          <w:sz w:val="20"/>
          <w:szCs w:val="20"/>
        </w:rPr>
        <w:lastRenderedPageBreak/>
        <w:t>In view of this situation</w:t>
      </w:r>
      <w:r w:rsidR="009C7FD6" w:rsidRPr="006F267A">
        <w:rPr>
          <w:rFonts w:ascii="Cambria" w:hAnsi="Cambria"/>
          <w:sz w:val="20"/>
          <w:szCs w:val="20"/>
        </w:rPr>
        <w:t xml:space="preserve">, </w:t>
      </w:r>
      <w:r w:rsidRPr="006F267A">
        <w:rPr>
          <w:rFonts w:ascii="Cambria" w:hAnsi="Cambria"/>
          <w:sz w:val="20"/>
          <w:szCs w:val="20"/>
        </w:rPr>
        <w:t xml:space="preserve">the petitioners lodged an </w:t>
      </w:r>
      <w:r w:rsidR="007751B5" w:rsidRPr="006F267A">
        <w:rPr>
          <w:rFonts w:ascii="Cambria" w:hAnsi="Cambria"/>
          <w:sz w:val="20"/>
          <w:szCs w:val="20"/>
        </w:rPr>
        <w:t xml:space="preserve">action for the protection of fundamental freedoms as they </w:t>
      </w:r>
      <w:r w:rsidR="0014213A" w:rsidRPr="006F267A">
        <w:rPr>
          <w:rFonts w:ascii="Cambria" w:hAnsi="Cambria"/>
          <w:sz w:val="20"/>
          <w:szCs w:val="20"/>
        </w:rPr>
        <w:t xml:space="preserve">claimed there had been a violation of </w:t>
      </w:r>
      <w:r w:rsidR="007751B5" w:rsidRPr="006F267A">
        <w:rPr>
          <w:rFonts w:ascii="Cambria" w:hAnsi="Cambria"/>
          <w:sz w:val="20"/>
          <w:szCs w:val="20"/>
        </w:rPr>
        <w:t xml:space="preserve">the right to due process, </w:t>
      </w:r>
      <w:r w:rsidR="0014213A" w:rsidRPr="006F267A">
        <w:rPr>
          <w:rFonts w:ascii="Cambria" w:hAnsi="Cambria"/>
          <w:sz w:val="20"/>
          <w:szCs w:val="20"/>
        </w:rPr>
        <w:t xml:space="preserve">the right to be heard by a competent judge </w:t>
      </w:r>
      <w:r w:rsidR="007751B5" w:rsidRPr="006F267A">
        <w:rPr>
          <w:rFonts w:ascii="Cambria" w:hAnsi="Cambria"/>
          <w:sz w:val="20"/>
          <w:szCs w:val="20"/>
        </w:rPr>
        <w:t xml:space="preserve">and </w:t>
      </w:r>
      <w:r w:rsidR="0014213A" w:rsidRPr="006F267A">
        <w:rPr>
          <w:rFonts w:ascii="Cambria" w:hAnsi="Cambria"/>
          <w:sz w:val="20"/>
          <w:szCs w:val="20"/>
        </w:rPr>
        <w:t>the principle of impartiality</w:t>
      </w:r>
      <w:r w:rsidR="009C7FD6" w:rsidRPr="006F267A">
        <w:rPr>
          <w:rFonts w:ascii="Cambria" w:hAnsi="Cambria"/>
          <w:sz w:val="20"/>
          <w:szCs w:val="20"/>
        </w:rPr>
        <w:t xml:space="preserve">. </w:t>
      </w:r>
      <w:r w:rsidR="006F267A">
        <w:rPr>
          <w:rFonts w:ascii="Cambria" w:hAnsi="Cambria"/>
          <w:sz w:val="20"/>
          <w:szCs w:val="20"/>
        </w:rPr>
        <w:t>This was rejected on April 27</w:t>
      </w:r>
      <w:r w:rsidR="006F267A" w:rsidRPr="006F267A">
        <w:rPr>
          <w:rFonts w:ascii="Cambria" w:hAnsi="Cambria"/>
          <w:sz w:val="20"/>
          <w:szCs w:val="20"/>
          <w:vertAlign w:val="superscript"/>
        </w:rPr>
        <w:t>th</w:t>
      </w:r>
      <w:r w:rsidR="0014213A" w:rsidRPr="006F267A">
        <w:rPr>
          <w:rFonts w:ascii="Cambria" w:hAnsi="Cambria"/>
          <w:sz w:val="20"/>
          <w:szCs w:val="20"/>
        </w:rPr>
        <w:t xml:space="preserve"> </w:t>
      </w:r>
      <w:r w:rsidR="009C7FD6" w:rsidRPr="006F267A">
        <w:rPr>
          <w:rFonts w:ascii="Cambria" w:hAnsi="Cambria"/>
          <w:sz w:val="20"/>
          <w:szCs w:val="20"/>
        </w:rPr>
        <w:t xml:space="preserve">2011 </w:t>
      </w:r>
      <w:r w:rsidR="0014213A" w:rsidRPr="006F267A">
        <w:rPr>
          <w:rFonts w:ascii="Cambria" w:hAnsi="Cambria"/>
          <w:sz w:val="20"/>
          <w:szCs w:val="20"/>
        </w:rPr>
        <w:t xml:space="preserve">by </w:t>
      </w:r>
      <w:r w:rsidR="0014213A" w:rsidRPr="00365781">
        <w:rPr>
          <w:rFonts w:ascii="Cambria" w:hAnsi="Cambria"/>
          <w:sz w:val="20"/>
          <w:szCs w:val="20"/>
        </w:rPr>
        <w:t>the Local Judiciary</w:t>
      </w:r>
      <w:r w:rsidR="0014213A" w:rsidRPr="006F267A">
        <w:rPr>
          <w:rFonts w:ascii="Cambria" w:hAnsi="Cambria"/>
          <w:sz w:val="20"/>
          <w:szCs w:val="20"/>
        </w:rPr>
        <w:t xml:space="preserve"> Council of </w:t>
      </w:r>
      <w:r w:rsidR="009C7FD6" w:rsidRPr="006F267A">
        <w:rPr>
          <w:rFonts w:ascii="Cambria" w:hAnsi="Cambria"/>
          <w:sz w:val="20"/>
          <w:szCs w:val="20"/>
        </w:rPr>
        <w:t>Bogotá</w:t>
      </w:r>
      <w:r w:rsidR="0014213A" w:rsidRPr="006F267A">
        <w:rPr>
          <w:rFonts w:ascii="Cambria" w:hAnsi="Cambria"/>
          <w:sz w:val="20"/>
          <w:szCs w:val="20"/>
        </w:rPr>
        <w:t>, which argued that there was no doubt that the</w:t>
      </w:r>
      <w:r w:rsidR="009C7FD6" w:rsidRPr="006F267A">
        <w:rPr>
          <w:rFonts w:ascii="Cambria" w:hAnsi="Cambria"/>
          <w:sz w:val="20"/>
          <w:szCs w:val="20"/>
        </w:rPr>
        <w:t xml:space="preserve"> </w:t>
      </w:r>
      <w:r w:rsidR="0014213A" w:rsidRPr="006F267A">
        <w:rPr>
          <w:rFonts w:ascii="Cambria" w:hAnsi="Cambria"/>
          <w:sz w:val="20"/>
          <w:szCs w:val="20"/>
        </w:rPr>
        <w:t xml:space="preserve">military troops had acted </w:t>
      </w:r>
      <w:r w:rsidR="0014213A" w:rsidRPr="00365781">
        <w:rPr>
          <w:rFonts w:ascii="Cambria" w:hAnsi="Cambria"/>
          <w:sz w:val="20"/>
          <w:szCs w:val="20"/>
        </w:rPr>
        <w:t>within their capacities</w:t>
      </w:r>
      <w:r w:rsidR="0014213A" w:rsidRPr="006F267A">
        <w:rPr>
          <w:rFonts w:ascii="Cambria" w:hAnsi="Cambria"/>
          <w:sz w:val="20"/>
          <w:szCs w:val="20"/>
        </w:rPr>
        <w:t xml:space="preserve"> and in compliance with constitutional mandates of State defense</w:t>
      </w:r>
      <w:r w:rsidR="009C7FD6" w:rsidRPr="006F267A">
        <w:rPr>
          <w:rFonts w:ascii="Cambria" w:hAnsi="Cambria"/>
          <w:sz w:val="20"/>
          <w:szCs w:val="20"/>
        </w:rPr>
        <w:t xml:space="preserve">. </w:t>
      </w:r>
      <w:r w:rsidR="0014213A" w:rsidRPr="006F267A">
        <w:rPr>
          <w:rFonts w:ascii="Cambria" w:hAnsi="Cambria"/>
          <w:sz w:val="20"/>
          <w:szCs w:val="20"/>
        </w:rPr>
        <w:t>That ruling</w:t>
      </w:r>
      <w:r w:rsidR="006F267A">
        <w:rPr>
          <w:rFonts w:ascii="Cambria" w:hAnsi="Cambria"/>
          <w:sz w:val="20"/>
          <w:szCs w:val="20"/>
        </w:rPr>
        <w:t xml:space="preserve"> was confirmed on September 13</w:t>
      </w:r>
      <w:r w:rsidR="006F267A" w:rsidRPr="006F267A">
        <w:rPr>
          <w:rFonts w:ascii="Cambria" w:hAnsi="Cambria"/>
          <w:sz w:val="20"/>
          <w:szCs w:val="20"/>
          <w:vertAlign w:val="superscript"/>
        </w:rPr>
        <w:t>th</w:t>
      </w:r>
      <w:r w:rsidR="0014213A" w:rsidRPr="006F267A">
        <w:rPr>
          <w:rFonts w:ascii="Cambria" w:hAnsi="Cambria"/>
          <w:sz w:val="20"/>
          <w:szCs w:val="20"/>
        </w:rPr>
        <w:t xml:space="preserve"> </w:t>
      </w:r>
      <w:r w:rsidR="009C7FD6" w:rsidRPr="006F267A">
        <w:rPr>
          <w:rFonts w:ascii="Cambria" w:hAnsi="Cambria"/>
          <w:sz w:val="20"/>
          <w:szCs w:val="20"/>
        </w:rPr>
        <w:t xml:space="preserve">2011 </w:t>
      </w:r>
      <w:r w:rsidR="0014213A" w:rsidRPr="006F267A">
        <w:rPr>
          <w:rFonts w:ascii="Cambria" w:hAnsi="Cambria"/>
          <w:sz w:val="20"/>
          <w:szCs w:val="20"/>
        </w:rPr>
        <w:t xml:space="preserve">by the Superior </w:t>
      </w:r>
      <w:r w:rsidR="0014213A" w:rsidRPr="00365781">
        <w:rPr>
          <w:rFonts w:ascii="Cambria" w:hAnsi="Cambria"/>
          <w:sz w:val="20"/>
          <w:szCs w:val="20"/>
        </w:rPr>
        <w:t>Judiciary</w:t>
      </w:r>
      <w:r w:rsidR="0014213A" w:rsidRPr="006F267A">
        <w:rPr>
          <w:rFonts w:ascii="Cambria" w:hAnsi="Cambria"/>
          <w:sz w:val="20"/>
          <w:szCs w:val="20"/>
        </w:rPr>
        <w:t xml:space="preserve"> Council, which stated that the judge’s actions fell within the framework of the principles governed by </w:t>
      </w:r>
      <w:r w:rsidR="006F267A">
        <w:rPr>
          <w:rFonts w:ascii="Cambria" w:hAnsi="Cambria"/>
          <w:sz w:val="20"/>
          <w:szCs w:val="20"/>
        </w:rPr>
        <w:t xml:space="preserve">the </w:t>
      </w:r>
      <w:r w:rsidR="006F267A" w:rsidRPr="00F80422">
        <w:rPr>
          <w:rFonts w:ascii="Cambria" w:hAnsi="Cambria"/>
          <w:sz w:val="20"/>
          <w:szCs w:val="20"/>
        </w:rPr>
        <w:t>exercise of judicial power</w:t>
      </w:r>
      <w:r w:rsidR="009C7FD6" w:rsidRPr="006F267A">
        <w:rPr>
          <w:rFonts w:ascii="Cambria" w:hAnsi="Cambria"/>
          <w:sz w:val="20"/>
          <w:szCs w:val="20"/>
        </w:rPr>
        <w:t xml:space="preserve">. </w:t>
      </w:r>
    </w:p>
    <w:p w:rsidR="009C7FD6" w:rsidRPr="006F267A" w:rsidRDefault="003F5F33" w:rsidP="009C7F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Cambria" w:hAnsi="Cambria"/>
          <w:sz w:val="20"/>
          <w:szCs w:val="20"/>
        </w:rPr>
        <w:t>The State maintains that the facts contained in the petition do not constitute human rights violations</w:t>
      </w:r>
      <w:r w:rsidR="009C7FD6" w:rsidRPr="006F267A">
        <w:rPr>
          <w:rFonts w:ascii="Cambria" w:hAnsi="Cambria"/>
          <w:sz w:val="20"/>
          <w:szCs w:val="20"/>
        </w:rPr>
        <w:t xml:space="preserve">, </w:t>
      </w:r>
      <w:r w:rsidRPr="006F267A">
        <w:rPr>
          <w:rFonts w:ascii="Cambria" w:hAnsi="Cambria"/>
          <w:sz w:val="20"/>
          <w:szCs w:val="20"/>
        </w:rPr>
        <w:t xml:space="preserve">as the </w:t>
      </w:r>
      <w:r w:rsidR="00AD1111">
        <w:rPr>
          <w:rFonts w:ascii="Cambria" w:hAnsi="Cambria"/>
          <w:sz w:val="20"/>
          <w:szCs w:val="20"/>
        </w:rPr>
        <w:t xml:space="preserve">Marcial operation </w:t>
      </w:r>
      <w:r w:rsidRPr="006F267A">
        <w:rPr>
          <w:rFonts w:ascii="Cambria" w:hAnsi="Cambria"/>
          <w:sz w:val="20"/>
          <w:szCs w:val="20"/>
        </w:rPr>
        <w:t>was a legitimate tactical mission that complied with the constitutional mission of the Armed Forces and was carried out within the framework of International Humanitarian Law</w:t>
      </w:r>
      <w:r w:rsidR="009C7FD6" w:rsidRPr="006F267A">
        <w:rPr>
          <w:rFonts w:ascii="Cambria" w:hAnsi="Cambria"/>
          <w:sz w:val="20"/>
          <w:szCs w:val="20"/>
        </w:rPr>
        <w:t xml:space="preserve">. </w:t>
      </w:r>
      <w:r w:rsidR="00230EFC" w:rsidRPr="006F267A">
        <w:rPr>
          <w:rFonts w:ascii="Cambria" w:hAnsi="Cambria"/>
          <w:sz w:val="20"/>
          <w:szCs w:val="20"/>
        </w:rPr>
        <w:t xml:space="preserve">In that </w:t>
      </w:r>
      <w:r w:rsidR="00230EFC" w:rsidRPr="00365781">
        <w:rPr>
          <w:rFonts w:ascii="Cambria" w:hAnsi="Cambria"/>
          <w:sz w:val="20"/>
          <w:szCs w:val="20"/>
        </w:rPr>
        <w:t>regard</w:t>
      </w:r>
      <w:r w:rsidR="009C7FD6" w:rsidRPr="006F267A">
        <w:rPr>
          <w:rFonts w:ascii="Cambria" w:hAnsi="Cambria"/>
          <w:sz w:val="20"/>
          <w:szCs w:val="20"/>
        </w:rPr>
        <w:t xml:space="preserve">, </w:t>
      </w:r>
      <w:r w:rsidR="00230EFC" w:rsidRPr="006F267A">
        <w:rPr>
          <w:rFonts w:ascii="Cambria" w:hAnsi="Cambria"/>
          <w:sz w:val="20"/>
          <w:szCs w:val="20"/>
        </w:rPr>
        <w:t>following a comb</w:t>
      </w:r>
      <w:r w:rsidR="00E13A21">
        <w:rPr>
          <w:rFonts w:ascii="Cambria" w:hAnsi="Cambria"/>
          <w:sz w:val="20"/>
          <w:szCs w:val="20"/>
        </w:rPr>
        <w:t>at that took place on March 13</w:t>
      </w:r>
      <w:r w:rsidR="00E13A21" w:rsidRPr="00E13A21">
        <w:rPr>
          <w:rFonts w:ascii="Cambria" w:hAnsi="Cambria"/>
          <w:sz w:val="20"/>
          <w:szCs w:val="20"/>
          <w:vertAlign w:val="superscript"/>
        </w:rPr>
        <w:t>th</w:t>
      </w:r>
      <w:r w:rsidR="00230EFC" w:rsidRPr="006F267A">
        <w:rPr>
          <w:rFonts w:ascii="Cambria" w:hAnsi="Cambria"/>
          <w:sz w:val="20"/>
          <w:szCs w:val="20"/>
        </w:rPr>
        <w:t xml:space="preserve"> </w:t>
      </w:r>
      <w:r w:rsidR="009C7FD6" w:rsidRPr="006F267A">
        <w:rPr>
          <w:rFonts w:ascii="Cambria" w:hAnsi="Cambria"/>
          <w:sz w:val="20"/>
          <w:szCs w:val="20"/>
        </w:rPr>
        <w:t xml:space="preserve">2003 </w:t>
      </w:r>
      <w:r w:rsidR="00230EFC" w:rsidRPr="006F267A">
        <w:rPr>
          <w:rFonts w:ascii="Cambria" w:hAnsi="Cambria"/>
          <w:sz w:val="20"/>
          <w:szCs w:val="20"/>
        </w:rPr>
        <w:t xml:space="preserve">against the </w:t>
      </w:r>
      <w:r w:rsidR="009C7FD6" w:rsidRPr="006F267A">
        <w:rPr>
          <w:rFonts w:ascii="Cambria" w:hAnsi="Cambria"/>
          <w:sz w:val="20"/>
          <w:szCs w:val="20"/>
        </w:rPr>
        <w:t xml:space="preserve">Carlos Alirio Buitrago </w:t>
      </w:r>
      <w:r w:rsidR="00230EFC" w:rsidRPr="006F267A">
        <w:rPr>
          <w:rFonts w:ascii="Cambria" w:hAnsi="Cambria"/>
          <w:sz w:val="20"/>
          <w:szCs w:val="20"/>
        </w:rPr>
        <w:t xml:space="preserve">squad of the ELN, </w:t>
      </w:r>
      <w:r w:rsidR="009C7FD6" w:rsidRPr="006F267A">
        <w:rPr>
          <w:rFonts w:ascii="Cambria" w:hAnsi="Cambria"/>
          <w:sz w:val="20"/>
          <w:szCs w:val="20"/>
        </w:rPr>
        <w:t xml:space="preserve">2 </w:t>
      </w:r>
      <w:r w:rsidR="00230EFC" w:rsidRPr="006F267A">
        <w:rPr>
          <w:rFonts w:ascii="Cambria" w:hAnsi="Cambria"/>
          <w:sz w:val="20"/>
          <w:szCs w:val="20"/>
        </w:rPr>
        <w:t>bodies were discovered together with war material and explosives</w:t>
      </w:r>
      <w:r w:rsidR="009C7FD6" w:rsidRPr="006F267A">
        <w:rPr>
          <w:rFonts w:ascii="Cambria" w:hAnsi="Cambria"/>
          <w:sz w:val="20"/>
          <w:szCs w:val="20"/>
        </w:rPr>
        <w:t xml:space="preserve">. </w:t>
      </w:r>
      <w:r w:rsidR="009D43C9" w:rsidRPr="006F267A">
        <w:rPr>
          <w:rFonts w:ascii="Cambria" w:hAnsi="Cambria"/>
          <w:sz w:val="20"/>
          <w:szCs w:val="20"/>
        </w:rPr>
        <w:t>The State maintains that, for that reason</w:t>
      </w:r>
      <w:r w:rsidR="009C7FD6" w:rsidRPr="006F267A">
        <w:rPr>
          <w:rFonts w:ascii="Cambria" w:hAnsi="Cambria"/>
          <w:sz w:val="20"/>
          <w:szCs w:val="20"/>
        </w:rPr>
        <w:t xml:space="preserve">, </w:t>
      </w:r>
      <w:r w:rsidR="009D43C9" w:rsidRPr="006F267A">
        <w:rPr>
          <w:rFonts w:ascii="Cambria" w:hAnsi="Cambria"/>
          <w:sz w:val="20"/>
          <w:szCs w:val="20"/>
        </w:rPr>
        <w:t>the matters in question fall under the jurisdiction of the military criminal justice system</w:t>
      </w:r>
      <w:r w:rsidR="009C7FD6" w:rsidRPr="006F267A">
        <w:rPr>
          <w:rFonts w:ascii="Cambria" w:hAnsi="Cambria"/>
          <w:sz w:val="20"/>
          <w:szCs w:val="20"/>
        </w:rPr>
        <w:t xml:space="preserve">, </w:t>
      </w:r>
      <w:r w:rsidR="009D43C9" w:rsidRPr="006F267A">
        <w:rPr>
          <w:rFonts w:ascii="Cambria" w:hAnsi="Cambria"/>
          <w:sz w:val="20"/>
          <w:szCs w:val="20"/>
        </w:rPr>
        <w:t>which is complying with its obligation to investigate the case rigorously and with absolute respect for due process</w:t>
      </w:r>
      <w:r w:rsidR="009C7FD6" w:rsidRPr="006F267A">
        <w:rPr>
          <w:rFonts w:ascii="Cambria" w:hAnsi="Cambria"/>
          <w:sz w:val="20"/>
          <w:szCs w:val="20"/>
        </w:rPr>
        <w:t xml:space="preserve">.    </w:t>
      </w:r>
    </w:p>
    <w:p w:rsidR="009C7FD6" w:rsidRPr="006F267A" w:rsidRDefault="00966C7F" w:rsidP="009C7F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Cambria" w:hAnsi="Cambria"/>
          <w:sz w:val="20"/>
          <w:szCs w:val="20"/>
        </w:rPr>
        <w:t>Furthermore</w:t>
      </w:r>
      <w:r w:rsidR="009C7FD6" w:rsidRPr="006F267A">
        <w:rPr>
          <w:rFonts w:ascii="Cambria" w:hAnsi="Cambria"/>
          <w:sz w:val="20"/>
          <w:szCs w:val="20"/>
        </w:rPr>
        <w:t xml:space="preserve">, </w:t>
      </w:r>
      <w:r w:rsidRPr="006F267A">
        <w:rPr>
          <w:rFonts w:ascii="Cambria" w:hAnsi="Cambria"/>
          <w:sz w:val="20"/>
          <w:szCs w:val="20"/>
        </w:rPr>
        <w:t xml:space="preserve">it </w:t>
      </w:r>
      <w:r w:rsidR="00FF2D10" w:rsidRPr="006F267A">
        <w:rPr>
          <w:rFonts w:ascii="Cambria" w:hAnsi="Cambria"/>
          <w:sz w:val="20"/>
          <w:szCs w:val="20"/>
        </w:rPr>
        <w:t xml:space="preserve">states </w:t>
      </w:r>
      <w:r w:rsidRPr="006F267A">
        <w:rPr>
          <w:rFonts w:ascii="Cambria" w:hAnsi="Cambria"/>
          <w:sz w:val="20"/>
          <w:szCs w:val="20"/>
        </w:rPr>
        <w:t>that the petition is inadmi</w:t>
      </w:r>
      <w:r w:rsidR="00FF2D10" w:rsidRPr="006F267A">
        <w:rPr>
          <w:rFonts w:ascii="Cambria" w:hAnsi="Cambria"/>
          <w:sz w:val="20"/>
          <w:szCs w:val="20"/>
        </w:rPr>
        <w:t>s</w:t>
      </w:r>
      <w:r w:rsidRPr="006F267A">
        <w:rPr>
          <w:rFonts w:ascii="Cambria" w:hAnsi="Cambria"/>
          <w:sz w:val="20"/>
          <w:szCs w:val="20"/>
        </w:rPr>
        <w:t>sible as all domestic jurisdictional remedies have not been exhausted given that the military criminal proceedings initiated have not yet been concluded</w:t>
      </w:r>
      <w:r w:rsidR="009C7FD6" w:rsidRPr="006F267A">
        <w:rPr>
          <w:rFonts w:ascii="Cambria" w:hAnsi="Cambria"/>
          <w:sz w:val="20"/>
          <w:szCs w:val="20"/>
        </w:rPr>
        <w:t xml:space="preserve">. </w:t>
      </w:r>
      <w:r w:rsidRPr="006F267A">
        <w:rPr>
          <w:rFonts w:ascii="Cambria" w:hAnsi="Cambria"/>
          <w:sz w:val="20"/>
          <w:szCs w:val="20"/>
        </w:rPr>
        <w:t>In addition</w:t>
      </w:r>
      <w:r w:rsidR="009C7FD6" w:rsidRPr="006F267A">
        <w:rPr>
          <w:rFonts w:ascii="Cambria" w:hAnsi="Cambria"/>
          <w:sz w:val="20"/>
          <w:szCs w:val="20"/>
        </w:rPr>
        <w:t xml:space="preserve">, </w:t>
      </w:r>
      <w:r w:rsidR="00FF2D10" w:rsidRPr="006F267A">
        <w:rPr>
          <w:rFonts w:ascii="Cambria" w:hAnsi="Cambria"/>
          <w:sz w:val="20"/>
          <w:szCs w:val="20"/>
        </w:rPr>
        <w:t>it mentions that a disciplinary investigation was carried out</w:t>
      </w:r>
      <w:r w:rsidR="009C7FD6" w:rsidRPr="006F267A">
        <w:rPr>
          <w:rFonts w:ascii="Cambria" w:hAnsi="Cambria"/>
          <w:sz w:val="20"/>
          <w:szCs w:val="20"/>
        </w:rPr>
        <w:t xml:space="preserve">, </w:t>
      </w:r>
      <w:r w:rsidR="00FF2D10" w:rsidRPr="006F267A">
        <w:rPr>
          <w:rFonts w:ascii="Cambria" w:hAnsi="Cambria"/>
          <w:sz w:val="20"/>
          <w:szCs w:val="20"/>
        </w:rPr>
        <w:t>and that this was definiti</w:t>
      </w:r>
      <w:r w:rsidR="004E2077">
        <w:rPr>
          <w:rFonts w:ascii="Cambria" w:hAnsi="Cambria"/>
          <w:sz w:val="20"/>
          <w:szCs w:val="20"/>
        </w:rPr>
        <w:t>vely closed on September 16</w:t>
      </w:r>
      <w:r w:rsidR="004E2077" w:rsidRPr="004E2077">
        <w:rPr>
          <w:rFonts w:ascii="Cambria" w:hAnsi="Cambria"/>
          <w:sz w:val="20"/>
          <w:szCs w:val="20"/>
          <w:vertAlign w:val="superscript"/>
        </w:rPr>
        <w:t>th</w:t>
      </w:r>
      <w:r w:rsidR="00FF2D10" w:rsidRPr="006F267A">
        <w:rPr>
          <w:rFonts w:ascii="Cambria" w:hAnsi="Cambria"/>
          <w:sz w:val="20"/>
          <w:szCs w:val="20"/>
        </w:rPr>
        <w:t xml:space="preserve"> </w:t>
      </w:r>
      <w:r w:rsidR="009C7FD6" w:rsidRPr="006F267A">
        <w:rPr>
          <w:rFonts w:ascii="Cambria" w:hAnsi="Cambria"/>
          <w:sz w:val="20"/>
          <w:szCs w:val="20"/>
        </w:rPr>
        <w:t xml:space="preserve">2004 </w:t>
      </w:r>
      <w:r w:rsidR="00FF2D10" w:rsidRPr="006F267A">
        <w:rPr>
          <w:rFonts w:ascii="Cambria" w:hAnsi="Cambria"/>
          <w:sz w:val="20"/>
          <w:szCs w:val="20"/>
        </w:rPr>
        <w:t xml:space="preserve">by </w:t>
      </w:r>
      <w:r w:rsidR="00FF2D10" w:rsidRPr="00AD1111">
        <w:rPr>
          <w:rFonts w:ascii="Cambria" w:hAnsi="Cambria"/>
          <w:sz w:val="20"/>
          <w:szCs w:val="20"/>
        </w:rPr>
        <w:t xml:space="preserve">the </w:t>
      </w:r>
      <w:r w:rsidR="004D14A7" w:rsidRPr="00AD1111">
        <w:rPr>
          <w:rFonts w:ascii="Cambria" w:hAnsi="Cambria"/>
          <w:sz w:val="20"/>
          <w:szCs w:val="20"/>
        </w:rPr>
        <w:t xml:space="preserve">Disciplinary </w:t>
      </w:r>
      <w:r w:rsidR="004D14A7" w:rsidRPr="006F267A">
        <w:rPr>
          <w:rFonts w:ascii="Cambria" w:hAnsi="Cambria"/>
          <w:sz w:val="20"/>
          <w:szCs w:val="20"/>
        </w:rPr>
        <w:t>Office of the Inspector General for the defense of Human Rights</w:t>
      </w:r>
      <w:r w:rsidR="009C7FD6" w:rsidRPr="006F267A">
        <w:rPr>
          <w:rFonts w:ascii="Cambria" w:hAnsi="Cambria"/>
          <w:sz w:val="20"/>
          <w:szCs w:val="20"/>
        </w:rPr>
        <w:t xml:space="preserve">, </w:t>
      </w:r>
      <w:r w:rsidR="004D14A7" w:rsidRPr="006F267A">
        <w:rPr>
          <w:rFonts w:ascii="Cambria" w:hAnsi="Cambria"/>
          <w:sz w:val="20"/>
          <w:szCs w:val="20"/>
        </w:rPr>
        <w:t xml:space="preserve">on the basis of the principle of </w:t>
      </w:r>
      <w:r w:rsidR="009C7FD6" w:rsidRPr="006F267A">
        <w:rPr>
          <w:rFonts w:ascii="Cambria" w:hAnsi="Cambria"/>
          <w:i/>
          <w:sz w:val="20"/>
          <w:szCs w:val="20"/>
        </w:rPr>
        <w:t>non bis in ídem,</w:t>
      </w:r>
      <w:r w:rsidR="009C7FD6" w:rsidRPr="006F267A">
        <w:rPr>
          <w:rFonts w:ascii="Cambria" w:hAnsi="Cambria"/>
          <w:sz w:val="20"/>
          <w:szCs w:val="20"/>
        </w:rPr>
        <w:t xml:space="preserve"> </w:t>
      </w:r>
      <w:r w:rsidR="004D14A7" w:rsidRPr="006F267A">
        <w:rPr>
          <w:rFonts w:ascii="Cambria" w:hAnsi="Cambria"/>
          <w:sz w:val="20"/>
          <w:szCs w:val="20"/>
        </w:rPr>
        <w:t>given that the process concerned the same facts</w:t>
      </w:r>
      <w:r w:rsidR="009C7FD6" w:rsidRPr="006F267A">
        <w:rPr>
          <w:rFonts w:ascii="Cambria" w:hAnsi="Cambria"/>
          <w:sz w:val="20"/>
          <w:szCs w:val="20"/>
        </w:rPr>
        <w:t xml:space="preserve">, </w:t>
      </w:r>
      <w:r w:rsidR="004D14A7" w:rsidRPr="006F267A">
        <w:rPr>
          <w:rFonts w:ascii="Cambria" w:hAnsi="Cambria"/>
          <w:sz w:val="20"/>
          <w:szCs w:val="20"/>
        </w:rPr>
        <w:t>the same individuals and the same cause of action as those heard by the military criminal justice system</w:t>
      </w:r>
      <w:r w:rsidR="009C7FD6" w:rsidRPr="006F267A">
        <w:rPr>
          <w:rFonts w:ascii="Cambria" w:hAnsi="Cambria"/>
          <w:sz w:val="20"/>
          <w:szCs w:val="20"/>
        </w:rPr>
        <w:t xml:space="preserve">. </w:t>
      </w:r>
      <w:r w:rsidR="00896643" w:rsidRPr="006F267A">
        <w:rPr>
          <w:rFonts w:ascii="Cambria" w:hAnsi="Cambria"/>
          <w:sz w:val="20"/>
          <w:szCs w:val="20"/>
        </w:rPr>
        <w:t xml:space="preserve">Moreover, it asserts that the family members of the alleged victim did not lodge an </w:t>
      </w:r>
      <w:r w:rsidR="004E2077" w:rsidRPr="00AD1111">
        <w:rPr>
          <w:rFonts w:ascii="Cambria" w:hAnsi="Cambria"/>
          <w:sz w:val="20"/>
          <w:szCs w:val="20"/>
        </w:rPr>
        <w:t>action for direct re</w:t>
      </w:r>
      <w:r w:rsidR="00896643" w:rsidRPr="00AD1111">
        <w:rPr>
          <w:rFonts w:ascii="Cambria" w:hAnsi="Cambria"/>
          <w:sz w:val="20"/>
          <w:szCs w:val="20"/>
        </w:rPr>
        <w:t>paration</w:t>
      </w:r>
      <w:r w:rsidR="00896643" w:rsidRPr="006F267A">
        <w:rPr>
          <w:rFonts w:ascii="Cambria" w:hAnsi="Cambria"/>
          <w:sz w:val="20"/>
          <w:szCs w:val="20"/>
        </w:rPr>
        <w:t>, which also determines the inadmissibility of the petition</w:t>
      </w:r>
      <w:r w:rsidR="009C7FD6" w:rsidRPr="006F267A">
        <w:rPr>
          <w:rFonts w:ascii="Cambria" w:hAnsi="Cambria"/>
          <w:sz w:val="20"/>
          <w:szCs w:val="20"/>
        </w:rPr>
        <w:t xml:space="preserve">. </w:t>
      </w:r>
    </w:p>
    <w:p w:rsidR="009C7FD6" w:rsidRPr="006F267A" w:rsidRDefault="003A7BD3" w:rsidP="009C7F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Cambria" w:hAnsi="Cambria"/>
          <w:sz w:val="20"/>
          <w:szCs w:val="20"/>
        </w:rPr>
        <w:t>Finally</w:t>
      </w:r>
      <w:r w:rsidR="009C7FD6" w:rsidRPr="006F267A">
        <w:rPr>
          <w:rFonts w:ascii="Cambria" w:hAnsi="Cambria"/>
          <w:sz w:val="20"/>
          <w:szCs w:val="20"/>
        </w:rPr>
        <w:t xml:space="preserve">, </w:t>
      </w:r>
      <w:r w:rsidRPr="006F267A">
        <w:rPr>
          <w:rFonts w:ascii="Cambria" w:hAnsi="Cambria"/>
          <w:sz w:val="20"/>
          <w:szCs w:val="20"/>
        </w:rPr>
        <w:t xml:space="preserve">it </w:t>
      </w:r>
      <w:r w:rsidR="00FB73C6" w:rsidRPr="006F267A">
        <w:rPr>
          <w:rFonts w:ascii="Cambria" w:hAnsi="Cambria"/>
          <w:sz w:val="20"/>
          <w:szCs w:val="20"/>
        </w:rPr>
        <w:t xml:space="preserve">states that the exceptions to the exhaustion of domestic remedies established in article </w:t>
      </w:r>
      <w:r w:rsidR="009C7FD6" w:rsidRPr="006F267A">
        <w:rPr>
          <w:rFonts w:ascii="Cambria" w:hAnsi="Cambria"/>
          <w:sz w:val="20"/>
          <w:szCs w:val="20"/>
        </w:rPr>
        <w:t xml:space="preserve">46.2. b) </w:t>
      </w:r>
      <w:r w:rsidR="00FB73C6" w:rsidRPr="006F267A">
        <w:rPr>
          <w:rFonts w:ascii="Cambria" w:hAnsi="Cambria"/>
          <w:sz w:val="20"/>
          <w:szCs w:val="20"/>
        </w:rPr>
        <w:t xml:space="preserve">and </w:t>
      </w:r>
      <w:r w:rsidR="009C7FD6" w:rsidRPr="006F267A">
        <w:rPr>
          <w:rFonts w:ascii="Cambria" w:hAnsi="Cambria"/>
          <w:sz w:val="20"/>
          <w:szCs w:val="20"/>
        </w:rPr>
        <w:t xml:space="preserve">c) </w:t>
      </w:r>
      <w:r w:rsidR="00FB73C6" w:rsidRPr="006F267A">
        <w:rPr>
          <w:rFonts w:ascii="Cambria" w:hAnsi="Cambria"/>
          <w:sz w:val="20"/>
          <w:szCs w:val="20"/>
        </w:rPr>
        <w:t>of the American Convention do not apply to this case</w:t>
      </w:r>
      <w:r w:rsidR="009C7FD6" w:rsidRPr="006F267A">
        <w:rPr>
          <w:rFonts w:ascii="Cambria" w:hAnsi="Cambria"/>
          <w:sz w:val="20"/>
          <w:szCs w:val="20"/>
        </w:rPr>
        <w:t xml:space="preserve">, </w:t>
      </w:r>
      <w:r w:rsidR="00FB73C6" w:rsidRPr="006F267A">
        <w:rPr>
          <w:rFonts w:ascii="Cambria" w:hAnsi="Cambria"/>
          <w:sz w:val="20"/>
          <w:szCs w:val="20"/>
        </w:rPr>
        <w:t xml:space="preserve">as the petitioners </w:t>
      </w:r>
      <w:r w:rsidR="004E2077">
        <w:rPr>
          <w:rFonts w:ascii="Cambria" w:hAnsi="Cambria"/>
          <w:sz w:val="20"/>
          <w:szCs w:val="20"/>
        </w:rPr>
        <w:t>have been</w:t>
      </w:r>
      <w:r w:rsidR="00FB73C6" w:rsidRPr="006F267A">
        <w:rPr>
          <w:rFonts w:ascii="Cambria" w:hAnsi="Cambria"/>
          <w:sz w:val="20"/>
          <w:szCs w:val="20"/>
        </w:rPr>
        <w:t xml:space="preserve"> afforded all the legal guarantees and through them have been able to participate actively in the proceedings</w:t>
      </w:r>
      <w:r w:rsidR="009C7FD6" w:rsidRPr="006F267A">
        <w:rPr>
          <w:rFonts w:ascii="Cambria" w:hAnsi="Cambria"/>
          <w:sz w:val="20"/>
          <w:szCs w:val="20"/>
        </w:rPr>
        <w:t xml:space="preserve">. </w:t>
      </w:r>
      <w:r w:rsidR="00FB73C6" w:rsidRPr="006F267A">
        <w:rPr>
          <w:rFonts w:ascii="Cambria" w:hAnsi="Cambria"/>
          <w:sz w:val="20"/>
          <w:szCs w:val="20"/>
        </w:rPr>
        <w:t>In addition</w:t>
      </w:r>
      <w:r w:rsidR="009C7FD6" w:rsidRPr="006F267A">
        <w:rPr>
          <w:rFonts w:ascii="Cambria" w:hAnsi="Cambria"/>
          <w:sz w:val="20"/>
          <w:szCs w:val="20"/>
        </w:rPr>
        <w:t xml:space="preserve">, </w:t>
      </w:r>
      <w:r w:rsidR="00FB73C6" w:rsidRPr="006F267A">
        <w:rPr>
          <w:rFonts w:ascii="Cambria" w:hAnsi="Cambria"/>
          <w:sz w:val="20"/>
          <w:szCs w:val="20"/>
        </w:rPr>
        <w:t xml:space="preserve">the State asserts that there has been </w:t>
      </w:r>
      <w:r w:rsidR="00F90797" w:rsidRPr="006F267A">
        <w:rPr>
          <w:rFonts w:ascii="Cambria" w:hAnsi="Cambria"/>
          <w:sz w:val="20"/>
          <w:szCs w:val="20"/>
        </w:rPr>
        <w:t>no unwarra</w:t>
      </w:r>
      <w:r w:rsidR="00FB73C6" w:rsidRPr="006F267A">
        <w:rPr>
          <w:rFonts w:ascii="Cambria" w:hAnsi="Cambria"/>
          <w:sz w:val="20"/>
          <w:szCs w:val="20"/>
        </w:rPr>
        <w:t xml:space="preserve">nted delay in rendering judgment, as the case at hand is a complex one, particularly given the circumstances in which the military operations </w:t>
      </w:r>
      <w:r w:rsidR="00AD1111">
        <w:rPr>
          <w:rFonts w:ascii="Cambria" w:hAnsi="Cambria"/>
          <w:sz w:val="20"/>
          <w:szCs w:val="20"/>
        </w:rPr>
        <w:t>are taking</w:t>
      </w:r>
      <w:r w:rsidR="00FB73C6" w:rsidRPr="006F267A">
        <w:rPr>
          <w:rFonts w:ascii="Cambria" w:hAnsi="Cambria"/>
          <w:sz w:val="20"/>
          <w:szCs w:val="20"/>
        </w:rPr>
        <w:t xml:space="preserve"> place</w:t>
      </w:r>
      <w:r w:rsidR="009C7FD6" w:rsidRPr="006F267A">
        <w:rPr>
          <w:rFonts w:ascii="Cambria" w:hAnsi="Cambria"/>
          <w:sz w:val="20"/>
          <w:szCs w:val="20"/>
        </w:rPr>
        <w:t xml:space="preserve">; </w:t>
      </w:r>
      <w:r w:rsidR="00FB73C6" w:rsidRPr="006F267A">
        <w:rPr>
          <w:rFonts w:ascii="Cambria" w:hAnsi="Cambria"/>
          <w:sz w:val="20"/>
          <w:szCs w:val="20"/>
        </w:rPr>
        <w:t xml:space="preserve">it does however highlight </w:t>
      </w:r>
      <w:r w:rsidR="00F90797" w:rsidRPr="006F267A">
        <w:rPr>
          <w:rFonts w:ascii="Cambria" w:hAnsi="Cambria"/>
          <w:sz w:val="20"/>
          <w:szCs w:val="20"/>
        </w:rPr>
        <w:t xml:space="preserve">the hard work </w:t>
      </w:r>
      <w:r w:rsidR="00F90797" w:rsidRPr="00AD1111">
        <w:rPr>
          <w:rFonts w:ascii="Cambria" w:hAnsi="Cambria"/>
          <w:sz w:val="20"/>
          <w:szCs w:val="20"/>
        </w:rPr>
        <w:t>carried out</w:t>
      </w:r>
      <w:r w:rsidR="00F90797" w:rsidRPr="006F267A">
        <w:rPr>
          <w:rFonts w:ascii="Cambria" w:hAnsi="Cambria"/>
          <w:sz w:val="20"/>
          <w:szCs w:val="20"/>
        </w:rPr>
        <w:t xml:space="preserve"> in investigative and judicial matters</w:t>
      </w:r>
      <w:r w:rsidR="009C7FD6" w:rsidRPr="006F267A">
        <w:rPr>
          <w:rFonts w:ascii="Cambria" w:hAnsi="Cambria"/>
          <w:sz w:val="20"/>
          <w:szCs w:val="20"/>
        </w:rPr>
        <w:t xml:space="preserve">.   </w:t>
      </w:r>
    </w:p>
    <w:p w:rsidR="009C7FD6" w:rsidRPr="006F267A" w:rsidRDefault="009C7FD6" w:rsidP="009C7FD6">
      <w:pPr>
        <w:spacing w:before="240" w:after="240"/>
        <w:ind w:firstLine="720"/>
        <w:jc w:val="both"/>
        <w:rPr>
          <w:rFonts w:ascii="Cambria" w:hAnsi="Cambria"/>
          <w:sz w:val="20"/>
          <w:szCs w:val="20"/>
        </w:rPr>
      </w:pPr>
      <w:r w:rsidRPr="006F267A">
        <w:rPr>
          <w:rFonts w:asciiTheme="majorHAnsi" w:eastAsia="Cambria" w:hAnsiTheme="majorHAnsi" w:cs="Cambria"/>
          <w:b/>
          <w:bCs/>
          <w:color w:val="000000"/>
          <w:sz w:val="20"/>
          <w:szCs w:val="20"/>
          <w:u w:color="000000"/>
          <w:lang w:eastAsia="es-ES"/>
        </w:rPr>
        <w:t>VI.</w:t>
      </w:r>
      <w:r w:rsidRPr="006F267A">
        <w:rPr>
          <w:rFonts w:asciiTheme="majorHAnsi" w:eastAsia="Cambria" w:hAnsiTheme="majorHAnsi" w:cs="Cambria"/>
          <w:b/>
          <w:bCs/>
          <w:color w:val="000000"/>
          <w:sz w:val="20"/>
          <w:szCs w:val="20"/>
          <w:u w:color="000000"/>
          <w:lang w:eastAsia="es-ES"/>
        </w:rPr>
        <w:tab/>
      </w:r>
      <w:r w:rsidR="004525FB" w:rsidRPr="006F267A">
        <w:rPr>
          <w:rFonts w:ascii="Cambria" w:hAnsi="Cambria"/>
          <w:b/>
          <w:sz w:val="20"/>
          <w:szCs w:val="20"/>
        </w:rPr>
        <w:t>EXHAUSTION OF DOMESTIC REMEDIES AND TIMELINESS OF THE PETITION</w:t>
      </w:r>
    </w:p>
    <w:p w:rsidR="009C7FD6" w:rsidRPr="006F267A" w:rsidRDefault="00C90BCD" w:rsidP="009C7F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Cambria" w:hAnsi="Cambria"/>
          <w:sz w:val="20"/>
          <w:szCs w:val="20"/>
        </w:rPr>
        <w:t xml:space="preserve">The petitioners state that the family members of the alleged victim brought an action before the Municipal </w:t>
      </w:r>
      <w:r w:rsidRPr="004E2DA7">
        <w:rPr>
          <w:rFonts w:ascii="Cambria" w:hAnsi="Cambria"/>
          <w:sz w:val="20"/>
          <w:szCs w:val="20"/>
        </w:rPr>
        <w:t>Attorney</w:t>
      </w:r>
      <w:r w:rsidRPr="006F267A">
        <w:rPr>
          <w:rFonts w:ascii="Cambria" w:hAnsi="Cambria"/>
          <w:sz w:val="20"/>
          <w:szCs w:val="20"/>
        </w:rPr>
        <w:t xml:space="preserve"> of </w:t>
      </w:r>
      <w:r w:rsidR="009C7FD6" w:rsidRPr="006F267A">
        <w:rPr>
          <w:rFonts w:ascii="Cambria" w:hAnsi="Cambria"/>
          <w:sz w:val="20"/>
          <w:szCs w:val="20"/>
        </w:rPr>
        <w:t xml:space="preserve">San Francisco </w:t>
      </w:r>
      <w:r w:rsidR="00825667" w:rsidRPr="006F267A">
        <w:rPr>
          <w:rFonts w:ascii="Cambria" w:hAnsi="Cambria"/>
          <w:sz w:val="20"/>
          <w:szCs w:val="20"/>
        </w:rPr>
        <w:t>as an appropriate legal recourse for the investigation into this violent death</w:t>
      </w:r>
      <w:r w:rsidR="009C7FD6" w:rsidRPr="006F267A">
        <w:rPr>
          <w:rFonts w:ascii="Cambria" w:hAnsi="Cambria"/>
          <w:sz w:val="20"/>
          <w:szCs w:val="20"/>
        </w:rPr>
        <w:t xml:space="preserve">. </w:t>
      </w:r>
      <w:r w:rsidR="00825667" w:rsidRPr="006F267A">
        <w:rPr>
          <w:rFonts w:ascii="Cambria" w:hAnsi="Cambria"/>
          <w:sz w:val="20"/>
          <w:szCs w:val="20"/>
        </w:rPr>
        <w:t>However</w:t>
      </w:r>
      <w:r w:rsidR="009C7FD6" w:rsidRPr="006F267A">
        <w:rPr>
          <w:rFonts w:ascii="Cambria" w:hAnsi="Cambria"/>
          <w:sz w:val="20"/>
          <w:szCs w:val="20"/>
        </w:rPr>
        <w:t xml:space="preserve">, </w:t>
      </w:r>
      <w:r w:rsidR="00825667" w:rsidRPr="006F267A">
        <w:rPr>
          <w:rFonts w:ascii="Cambria" w:hAnsi="Cambria"/>
          <w:sz w:val="20"/>
          <w:szCs w:val="20"/>
        </w:rPr>
        <w:t>the case was derived to the military criminal court system</w:t>
      </w:r>
      <w:r w:rsidR="009C7FD6" w:rsidRPr="006F267A">
        <w:rPr>
          <w:rFonts w:ascii="Cambria" w:hAnsi="Cambria"/>
          <w:sz w:val="20"/>
          <w:szCs w:val="20"/>
        </w:rPr>
        <w:t xml:space="preserve">, </w:t>
      </w:r>
      <w:r w:rsidR="00825667" w:rsidRPr="006F267A">
        <w:rPr>
          <w:rFonts w:ascii="Cambria" w:hAnsi="Cambria"/>
          <w:sz w:val="20"/>
          <w:szCs w:val="20"/>
        </w:rPr>
        <w:t>were it was initially closed and then reopened 5 years later</w:t>
      </w:r>
      <w:r w:rsidR="009C7FD6" w:rsidRPr="006F267A">
        <w:rPr>
          <w:rFonts w:ascii="Cambria" w:hAnsi="Cambria"/>
          <w:sz w:val="20"/>
          <w:szCs w:val="20"/>
        </w:rPr>
        <w:t xml:space="preserve">, </w:t>
      </w:r>
      <w:r w:rsidR="00825667" w:rsidRPr="006F267A">
        <w:rPr>
          <w:rFonts w:ascii="Cambria" w:hAnsi="Cambria"/>
          <w:sz w:val="20"/>
          <w:szCs w:val="20"/>
        </w:rPr>
        <w:t>and to date has not been concluded</w:t>
      </w:r>
      <w:r w:rsidR="009C7FD6" w:rsidRPr="006F267A">
        <w:rPr>
          <w:rFonts w:ascii="Cambria" w:hAnsi="Cambria"/>
          <w:sz w:val="20"/>
          <w:szCs w:val="20"/>
        </w:rPr>
        <w:t xml:space="preserve">. </w:t>
      </w:r>
      <w:r w:rsidR="00825667" w:rsidRPr="006F267A">
        <w:rPr>
          <w:rFonts w:ascii="Cambria" w:hAnsi="Cambria"/>
          <w:sz w:val="20"/>
          <w:szCs w:val="20"/>
        </w:rPr>
        <w:t>They allege that</w:t>
      </w:r>
      <w:r w:rsidR="009C7FD6" w:rsidRPr="006F267A">
        <w:rPr>
          <w:rFonts w:ascii="Cambria" w:hAnsi="Cambria"/>
          <w:sz w:val="20"/>
          <w:szCs w:val="20"/>
        </w:rPr>
        <w:t xml:space="preserve">, </w:t>
      </w:r>
      <w:r w:rsidR="00825667" w:rsidRPr="006F267A">
        <w:rPr>
          <w:rFonts w:ascii="Cambria" w:hAnsi="Cambria"/>
          <w:sz w:val="20"/>
          <w:szCs w:val="20"/>
        </w:rPr>
        <w:t>consequently</w:t>
      </w:r>
      <w:r w:rsidR="009C7FD6" w:rsidRPr="006F267A">
        <w:rPr>
          <w:rFonts w:ascii="Cambria" w:hAnsi="Cambria"/>
          <w:sz w:val="20"/>
          <w:szCs w:val="20"/>
        </w:rPr>
        <w:t xml:space="preserve">, </w:t>
      </w:r>
      <w:r w:rsidR="00825667" w:rsidRPr="006F267A">
        <w:rPr>
          <w:rFonts w:ascii="Cambria" w:hAnsi="Cambria"/>
          <w:sz w:val="20"/>
          <w:szCs w:val="20"/>
        </w:rPr>
        <w:t>through the application of military criminal jurisdiction</w:t>
      </w:r>
      <w:r w:rsidR="002D16E0" w:rsidRPr="006F267A">
        <w:rPr>
          <w:rFonts w:ascii="Cambria" w:hAnsi="Cambria"/>
          <w:sz w:val="20"/>
          <w:szCs w:val="20"/>
        </w:rPr>
        <w:t>,</w:t>
      </w:r>
      <w:r w:rsidR="00825667" w:rsidRPr="006F267A">
        <w:rPr>
          <w:rFonts w:ascii="Cambria" w:hAnsi="Cambria"/>
          <w:sz w:val="20"/>
          <w:szCs w:val="20"/>
        </w:rPr>
        <w:t xml:space="preserve"> </w:t>
      </w:r>
      <w:r w:rsidR="002D16E0" w:rsidRPr="006F267A">
        <w:rPr>
          <w:rFonts w:ascii="Cambria" w:hAnsi="Cambria"/>
          <w:sz w:val="20"/>
          <w:szCs w:val="20"/>
        </w:rPr>
        <w:t>the</w:t>
      </w:r>
      <w:r w:rsidR="00825667" w:rsidRPr="006F267A">
        <w:rPr>
          <w:rFonts w:ascii="Cambria" w:hAnsi="Cambria"/>
          <w:sz w:val="20"/>
          <w:szCs w:val="20"/>
        </w:rPr>
        <w:t>y were denied access to the suitable remedies under domestic law</w:t>
      </w:r>
      <w:r w:rsidR="009C7FD6" w:rsidRPr="006F267A">
        <w:rPr>
          <w:rFonts w:ascii="Cambria" w:hAnsi="Cambria"/>
          <w:sz w:val="20"/>
          <w:szCs w:val="20"/>
        </w:rPr>
        <w:t xml:space="preserve">, </w:t>
      </w:r>
      <w:r w:rsidR="00825667" w:rsidRPr="006F267A">
        <w:rPr>
          <w:rFonts w:ascii="Cambria" w:hAnsi="Cambria"/>
          <w:sz w:val="20"/>
          <w:szCs w:val="20"/>
        </w:rPr>
        <w:t>and that moreover there was an unwarranted delay in r</w:t>
      </w:r>
      <w:r w:rsidR="002D16E0" w:rsidRPr="006F267A">
        <w:rPr>
          <w:rFonts w:ascii="Cambria" w:hAnsi="Cambria"/>
          <w:sz w:val="20"/>
          <w:szCs w:val="20"/>
        </w:rPr>
        <w:t>endering justice</w:t>
      </w:r>
      <w:r w:rsidR="009C7FD6" w:rsidRPr="006F267A">
        <w:rPr>
          <w:rFonts w:ascii="Cambria" w:hAnsi="Cambria"/>
          <w:sz w:val="20"/>
          <w:szCs w:val="20"/>
        </w:rPr>
        <w:t xml:space="preserve">. </w:t>
      </w:r>
      <w:r w:rsidR="002D16E0" w:rsidRPr="006F267A">
        <w:rPr>
          <w:rFonts w:ascii="Cambria" w:hAnsi="Cambria"/>
          <w:sz w:val="20"/>
          <w:szCs w:val="20"/>
        </w:rPr>
        <w:t>The State, for its part, indicates that the remedies were not exhausted</w:t>
      </w:r>
      <w:r w:rsidR="009C7FD6" w:rsidRPr="006F267A">
        <w:rPr>
          <w:rFonts w:ascii="Cambria" w:hAnsi="Cambria"/>
          <w:sz w:val="20"/>
          <w:szCs w:val="20"/>
        </w:rPr>
        <w:t xml:space="preserve">, </w:t>
      </w:r>
      <w:r w:rsidR="002D16E0" w:rsidRPr="006F267A">
        <w:rPr>
          <w:rFonts w:ascii="Cambria" w:hAnsi="Cambria"/>
          <w:sz w:val="20"/>
          <w:szCs w:val="20"/>
        </w:rPr>
        <w:t>given that the military criminal proceedings are still ongoing and the investigation procedures are still taking place</w:t>
      </w:r>
      <w:r w:rsidR="009C7FD6" w:rsidRPr="006F267A">
        <w:rPr>
          <w:rFonts w:ascii="Cambria" w:hAnsi="Cambria"/>
          <w:sz w:val="20"/>
          <w:szCs w:val="20"/>
        </w:rPr>
        <w:t xml:space="preserve">. </w:t>
      </w:r>
      <w:r w:rsidR="002D16E0" w:rsidRPr="006F267A">
        <w:rPr>
          <w:rFonts w:ascii="Cambria" w:hAnsi="Cambria"/>
          <w:sz w:val="20"/>
          <w:szCs w:val="20"/>
        </w:rPr>
        <w:t>Furthermore</w:t>
      </w:r>
      <w:r w:rsidR="009C7FD6" w:rsidRPr="006F267A">
        <w:rPr>
          <w:rFonts w:ascii="Cambria" w:hAnsi="Cambria"/>
          <w:sz w:val="20"/>
          <w:szCs w:val="20"/>
        </w:rPr>
        <w:t xml:space="preserve">, </w:t>
      </w:r>
      <w:r w:rsidR="002D16E0" w:rsidRPr="006F267A">
        <w:rPr>
          <w:rFonts w:ascii="Cambria" w:hAnsi="Cambria"/>
          <w:sz w:val="20"/>
          <w:szCs w:val="20"/>
        </w:rPr>
        <w:t xml:space="preserve">it points out that the jurisdiction of the </w:t>
      </w:r>
      <w:r w:rsidR="004E2DA7">
        <w:rPr>
          <w:rFonts w:ascii="Cambria" w:hAnsi="Cambria"/>
          <w:sz w:val="20"/>
          <w:szCs w:val="20"/>
        </w:rPr>
        <w:t xml:space="preserve">Eighth Court of </w:t>
      </w:r>
      <w:r w:rsidR="002D16E0" w:rsidRPr="006F267A">
        <w:rPr>
          <w:rFonts w:ascii="Cambria" w:hAnsi="Cambria"/>
          <w:sz w:val="20"/>
          <w:szCs w:val="20"/>
        </w:rPr>
        <w:t xml:space="preserve">Army Brigade </w:t>
      </w:r>
      <w:r w:rsidR="009C7FD6" w:rsidRPr="006F267A">
        <w:rPr>
          <w:rFonts w:ascii="Cambria" w:hAnsi="Cambria"/>
          <w:sz w:val="20"/>
          <w:szCs w:val="20"/>
        </w:rPr>
        <w:t>IV</w:t>
      </w:r>
      <w:r w:rsidR="002D16E0" w:rsidRPr="006F267A">
        <w:rPr>
          <w:rFonts w:ascii="Cambria" w:hAnsi="Cambria"/>
          <w:sz w:val="20"/>
          <w:szCs w:val="20"/>
        </w:rPr>
        <w:t xml:space="preserve"> in the case was confirmed by the </w:t>
      </w:r>
      <w:r w:rsidR="002D16E0" w:rsidRPr="00365781">
        <w:rPr>
          <w:rFonts w:ascii="Cambria" w:hAnsi="Cambria"/>
          <w:sz w:val="20"/>
          <w:szCs w:val="20"/>
        </w:rPr>
        <w:t>Judiciary</w:t>
      </w:r>
      <w:r w:rsidR="002D16E0" w:rsidRPr="006F267A">
        <w:rPr>
          <w:rFonts w:ascii="Cambria" w:hAnsi="Cambria"/>
          <w:sz w:val="20"/>
          <w:szCs w:val="20"/>
        </w:rPr>
        <w:t xml:space="preserve"> Council</w:t>
      </w:r>
      <w:r w:rsidR="009C7FD6" w:rsidRPr="006F267A">
        <w:rPr>
          <w:rFonts w:ascii="Cambria" w:hAnsi="Cambria"/>
          <w:sz w:val="20"/>
          <w:szCs w:val="20"/>
        </w:rPr>
        <w:t>.</w:t>
      </w:r>
    </w:p>
    <w:p w:rsidR="009C7FD6" w:rsidRPr="006F267A" w:rsidRDefault="009A27AD" w:rsidP="009C7F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Cambria" w:hAnsi="Cambria"/>
          <w:sz w:val="20"/>
          <w:szCs w:val="20"/>
        </w:rPr>
        <w:t xml:space="preserve">The Commission has reiterated </w:t>
      </w:r>
      <w:r w:rsidR="00713654" w:rsidRPr="006F267A">
        <w:rPr>
          <w:rFonts w:ascii="Cambria" w:hAnsi="Cambria"/>
          <w:sz w:val="20"/>
          <w:szCs w:val="20"/>
        </w:rPr>
        <w:t>on several occasio</w:t>
      </w:r>
      <w:r w:rsidRPr="006F267A">
        <w:rPr>
          <w:rFonts w:ascii="Cambria" w:hAnsi="Cambria"/>
          <w:sz w:val="20"/>
          <w:szCs w:val="20"/>
        </w:rPr>
        <w:t xml:space="preserve">ns that the military jurisdiction is not appropriate </w:t>
      </w:r>
      <w:r w:rsidR="00713654" w:rsidRPr="006F267A">
        <w:rPr>
          <w:rFonts w:ascii="Cambria" w:hAnsi="Cambria"/>
          <w:sz w:val="20"/>
          <w:szCs w:val="20"/>
        </w:rPr>
        <w:t xml:space="preserve">in this case </w:t>
      </w:r>
      <w:r w:rsidRPr="006F267A">
        <w:rPr>
          <w:rFonts w:ascii="Cambria" w:hAnsi="Cambria"/>
          <w:sz w:val="20"/>
          <w:szCs w:val="20"/>
        </w:rPr>
        <w:t xml:space="preserve">and that it therefore does not provide a suitable </w:t>
      </w:r>
      <w:r w:rsidR="00303817">
        <w:rPr>
          <w:rFonts w:ascii="Cambria" w:hAnsi="Cambria"/>
          <w:sz w:val="20"/>
          <w:szCs w:val="20"/>
        </w:rPr>
        <w:t xml:space="preserve">recourse  </w:t>
      </w:r>
      <w:r w:rsidRPr="006F267A">
        <w:rPr>
          <w:rFonts w:ascii="Cambria" w:hAnsi="Cambria"/>
          <w:sz w:val="20"/>
          <w:szCs w:val="20"/>
        </w:rPr>
        <w:t>to investigate, try and punish the alleged violations of the human rights enshrined in the American Convention</w:t>
      </w:r>
      <w:r w:rsidR="009C7FD6" w:rsidRPr="006F267A">
        <w:rPr>
          <w:rFonts w:ascii="Cambria" w:hAnsi="Cambria"/>
          <w:sz w:val="20"/>
          <w:szCs w:val="20"/>
        </w:rPr>
        <w:t xml:space="preserve">, </w:t>
      </w:r>
      <w:r w:rsidRPr="006F267A">
        <w:rPr>
          <w:rFonts w:ascii="Cambria" w:hAnsi="Cambria"/>
          <w:sz w:val="20"/>
          <w:szCs w:val="20"/>
        </w:rPr>
        <w:t xml:space="preserve">that were allegedly committed by members of </w:t>
      </w:r>
      <w:r w:rsidRPr="00365781">
        <w:rPr>
          <w:rFonts w:ascii="Cambria" w:hAnsi="Cambria"/>
          <w:sz w:val="20"/>
          <w:szCs w:val="20"/>
        </w:rPr>
        <w:t>the Armed Forces</w:t>
      </w:r>
      <w:r w:rsidRPr="006F267A">
        <w:rPr>
          <w:rFonts w:ascii="Cambria" w:hAnsi="Cambria"/>
          <w:sz w:val="20"/>
          <w:szCs w:val="20"/>
        </w:rPr>
        <w:t xml:space="preserve"> or with their collaboration or acquiescence</w:t>
      </w:r>
      <w:r w:rsidR="009C7FD6" w:rsidRPr="006F267A">
        <w:rPr>
          <w:rFonts w:ascii="Cambria" w:hAnsi="Cambria"/>
          <w:sz w:val="20"/>
          <w:szCs w:val="20"/>
          <w:vertAlign w:val="superscript"/>
        </w:rPr>
        <w:footnoteReference w:id="7"/>
      </w:r>
      <w:r w:rsidR="009C7FD6" w:rsidRPr="006F267A">
        <w:rPr>
          <w:rFonts w:ascii="Cambria" w:hAnsi="Cambria"/>
          <w:sz w:val="20"/>
          <w:szCs w:val="20"/>
        </w:rPr>
        <w:t xml:space="preserve">. </w:t>
      </w:r>
      <w:r w:rsidR="0096056A" w:rsidRPr="006F267A">
        <w:rPr>
          <w:rFonts w:ascii="Cambria" w:hAnsi="Cambria"/>
          <w:sz w:val="20"/>
          <w:szCs w:val="20"/>
        </w:rPr>
        <w:t>It therefore considers that in this case, as the investigations into the alleged extra-judicial execution continue to take place within the military criminal court system</w:t>
      </w:r>
      <w:r w:rsidR="009C7FD6" w:rsidRPr="006F267A">
        <w:rPr>
          <w:rFonts w:ascii="Cambria" w:hAnsi="Cambria"/>
          <w:sz w:val="20"/>
          <w:szCs w:val="20"/>
        </w:rPr>
        <w:t xml:space="preserve">, </w:t>
      </w:r>
      <w:r w:rsidR="0096056A" w:rsidRPr="006F267A">
        <w:rPr>
          <w:rFonts w:ascii="Cambria" w:hAnsi="Cambria"/>
          <w:sz w:val="20"/>
          <w:szCs w:val="20"/>
        </w:rPr>
        <w:t xml:space="preserve">the exception established in article </w:t>
      </w:r>
      <w:r w:rsidR="009C7FD6" w:rsidRPr="006F267A">
        <w:rPr>
          <w:rFonts w:ascii="Cambria" w:hAnsi="Cambria"/>
          <w:sz w:val="20"/>
          <w:szCs w:val="20"/>
        </w:rPr>
        <w:t xml:space="preserve">46.2.b) </w:t>
      </w:r>
      <w:r w:rsidR="0096056A" w:rsidRPr="006F267A">
        <w:rPr>
          <w:rFonts w:ascii="Cambria" w:hAnsi="Cambria"/>
          <w:sz w:val="20"/>
          <w:szCs w:val="20"/>
        </w:rPr>
        <w:t>of the Convention has been constituted</w:t>
      </w:r>
      <w:r w:rsidR="009C7FD6" w:rsidRPr="006F267A">
        <w:rPr>
          <w:rFonts w:ascii="Cambria" w:hAnsi="Cambria"/>
          <w:sz w:val="20"/>
          <w:szCs w:val="20"/>
        </w:rPr>
        <w:t xml:space="preserve">. </w:t>
      </w:r>
      <w:r w:rsidR="0096056A" w:rsidRPr="006F267A">
        <w:rPr>
          <w:rFonts w:ascii="Cambria" w:hAnsi="Cambria"/>
          <w:sz w:val="20"/>
          <w:szCs w:val="20"/>
        </w:rPr>
        <w:t>Similarly</w:t>
      </w:r>
      <w:r w:rsidR="009C7FD6" w:rsidRPr="006F267A">
        <w:rPr>
          <w:rFonts w:ascii="Cambria" w:hAnsi="Cambria"/>
          <w:sz w:val="20"/>
          <w:szCs w:val="20"/>
        </w:rPr>
        <w:t xml:space="preserve">, </w:t>
      </w:r>
      <w:r w:rsidR="0096056A" w:rsidRPr="006F267A">
        <w:rPr>
          <w:rFonts w:ascii="Cambria" w:hAnsi="Cambria"/>
          <w:sz w:val="20"/>
          <w:szCs w:val="20"/>
        </w:rPr>
        <w:t xml:space="preserve">the Commission observes that the death of the alleged victim was reported to </w:t>
      </w:r>
      <w:r w:rsidR="0096056A" w:rsidRPr="006F267A">
        <w:rPr>
          <w:rFonts w:ascii="Cambria" w:hAnsi="Cambria"/>
          <w:sz w:val="20"/>
          <w:szCs w:val="20"/>
        </w:rPr>
        <w:lastRenderedPageBreak/>
        <w:t xml:space="preserve">the Colombian authorities in March </w:t>
      </w:r>
      <w:r w:rsidR="009C7FD6" w:rsidRPr="006F267A">
        <w:rPr>
          <w:rFonts w:ascii="Cambria" w:hAnsi="Cambria"/>
          <w:sz w:val="20"/>
          <w:szCs w:val="20"/>
        </w:rPr>
        <w:t xml:space="preserve">2003; </w:t>
      </w:r>
      <w:r w:rsidR="0096056A" w:rsidRPr="006F267A">
        <w:rPr>
          <w:rFonts w:ascii="Cambria" w:hAnsi="Cambria"/>
          <w:sz w:val="20"/>
          <w:szCs w:val="20"/>
        </w:rPr>
        <w:t>however</w:t>
      </w:r>
      <w:r w:rsidR="009C7FD6" w:rsidRPr="006F267A">
        <w:rPr>
          <w:rFonts w:ascii="Cambria" w:hAnsi="Cambria"/>
          <w:sz w:val="20"/>
          <w:szCs w:val="20"/>
        </w:rPr>
        <w:t xml:space="preserve">, </w:t>
      </w:r>
      <w:r w:rsidR="0096056A" w:rsidRPr="006F267A">
        <w:rPr>
          <w:rFonts w:ascii="Cambria" w:hAnsi="Cambria"/>
          <w:sz w:val="20"/>
          <w:szCs w:val="20"/>
        </w:rPr>
        <w:t xml:space="preserve">to date there has been no final </w:t>
      </w:r>
      <w:r w:rsidR="004415FC">
        <w:rPr>
          <w:rFonts w:ascii="Cambria" w:hAnsi="Cambria"/>
          <w:sz w:val="20"/>
          <w:szCs w:val="20"/>
        </w:rPr>
        <w:t>decision</w:t>
      </w:r>
      <w:r w:rsidR="009C7FD6" w:rsidRPr="006F267A">
        <w:rPr>
          <w:rFonts w:ascii="Cambria" w:hAnsi="Cambria"/>
          <w:sz w:val="20"/>
          <w:szCs w:val="20"/>
        </w:rPr>
        <w:t xml:space="preserve">. </w:t>
      </w:r>
      <w:r w:rsidR="0096056A" w:rsidRPr="006F267A">
        <w:rPr>
          <w:rFonts w:ascii="Cambria" w:hAnsi="Cambria"/>
          <w:sz w:val="20"/>
          <w:szCs w:val="20"/>
        </w:rPr>
        <w:t>Consequently</w:t>
      </w:r>
      <w:r w:rsidR="009C7FD6" w:rsidRPr="006F267A">
        <w:rPr>
          <w:rFonts w:ascii="Cambria" w:hAnsi="Cambria"/>
          <w:sz w:val="20"/>
          <w:szCs w:val="20"/>
        </w:rPr>
        <w:t xml:space="preserve">, </w:t>
      </w:r>
      <w:r w:rsidR="0096056A" w:rsidRPr="006F267A">
        <w:rPr>
          <w:rFonts w:ascii="Cambria" w:hAnsi="Cambria"/>
          <w:sz w:val="20"/>
          <w:szCs w:val="20"/>
        </w:rPr>
        <w:t>in view of the characteristics of this case and of the precedents found in similar case law</w:t>
      </w:r>
      <w:r w:rsidR="009C7FD6" w:rsidRPr="006F267A">
        <w:rPr>
          <w:rFonts w:ascii="Cambria" w:hAnsi="Cambria"/>
          <w:sz w:val="20"/>
          <w:szCs w:val="20"/>
          <w:vertAlign w:val="superscript"/>
        </w:rPr>
        <w:footnoteReference w:id="8"/>
      </w:r>
      <w:r w:rsidR="009C7FD6" w:rsidRPr="006F267A">
        <w:rPr>
          <w:rFonts w:ascii="Cambria" w:hAnsi="Cambria"/>
          <w:sz w:val="20"/>
          <w:szCs w:val="20"/>
        </w:rPr>
        <w:t xml:space="preserve">, </w:t>
      </w:r>
      <w:r w:rsidR="0096056A" w:rsidRPr="006F267A">
        <w:rPr>
          <w:rFonts w:ascii="Cambria" w:hAnsi="Cambria"/>
          <w:sz w:val="20"/>
          <w:szCs w:val="20"/>
        </w:rPr>
        <w:t xml:space="preserve">the Commission </w:t>
      </w:r>
      <w:r w:rsidR="00062DF6">
        <w:rPr>
          <w:rFonts w:ascii="Cambria" w:hAnsi="Cambria"/>
          <w:sz w:val="20"/>
          <w:szCs w:val="20"/>
        </w:rPr>
        <w:t>believes</w:t>
      </w:r>
      <w:r w:rsidR="0096056A" w:rsidRPr="006F267A">
        <w:rPr>
          <w:rFonts w:ascii="Cambria" w:hAnsi="Cambria"/>
          <w:sz w:val="20"/>
          <w:szCs w:val="20"/>
        </w:rPr>
        <w:t xml:space="preserve"> that the exception to the exhaustion of domestic remedies established in article </w:t>
      </w:r>
      <w:r w:rsidR="009C7FD6" w:rsidRPr="006F267A">
        <w:rPr>
          <w:rFonts w:ascii="Cambria" w:hAnsi="Cambria"/>
          <w:sz w:val="20"/>
          <w:szCs w:val="20"/>
        </w:rPr>
        <w:t xml:space="preserve">46.2.c </w:t>
      </w:r>
      <w:r w:rsidR="0096056A" w:rsidRPr="006F267A">
        <w:rPr>
          <w:rFonts w:ascii="Cambria" w:hAnsi="Cambria"/>
          <w:sz w:val="20"/>
          <w:szCs w:val="20"/>
        </w:rPr>
        <w:t>of the American Convention is applicable</w:t>
      </w:r>
      <w:r w:rsidR="009C7FD6" w:rsidRPr="006F267A">
        <w:rPr>
          <w:rFonts w:ascii="Cambria" w:hAnsi="Cambria"/>
          <w:sz w:val="20"/>
          <w:szCs w:val="20"/>
        </w:rPr>
        <w:t xml:space="preserve">. </w:t>
      </w:r>
      <w:r w:rsidR="0096056A" w:rsidRPr="006F267A">
        <w:rPr>
          <w:rFonts w:ascii="Cambria" w:hAnsi="Cambria"/>
          <w:sz w:val="20"/>
          <w:szCs w:val="20"/>
        </w:rPr>
        <w:t>Finally</w:t>
      </w:r>
      <w:r w:rsidR="009C7FD6" w:rsidRPr="006F267A">
        <w:rPr>
          <w:rFonts w:ascii="Cambria" w:hAnsi="Cambria"/>
          <w:sz w:val="20"/>
          <w:szCs w:val="20"/>
          <w:bdr w:val="none" w:sz="0" w:space="0" w:color="auto" w:frame="1"/>
        </w:rPr>
        <w:t xml:space="preserve">, </w:t>
      </w:r>
      <w:r w:rsidR="0096056A" w:rsidRPr="006F267A">
        <w:rPr>
          <w:rFonts w:ascii="Cambria" w:hAnsi="Cambria"/>
          <w:sz w:val="20"/>
          <w:szCs w:val="20"/>
          <w:bdr w:val="none" w:sz="0" w:space="0" w:color="auto" w:frame="1"/>
        </w:rPr>
        <w:t xml:space="preserve">the IACHR considers that the petition was lodged within a reasonable period of time and therefore </w:t>
      </w:r>
      <w:r w:rsidR="00062DF6">
        <w:rPr>
          <w:rFonts w:ascii="Cambria" w:hAnsi="Cambria"/>
          <w:sz w:val="20"/>
          <w:szCs w:val="20"/>
          <w:bdr w:val="none" w:sz="0" w:space="0" w:color="auto" w:frame="1"/>
        </w:rPr>
        <w:t xml:space="preserve">believes </w:t>
      </w:r>
      <w:r w:rsidR="0096056A" w:rsidRPr="006F267A">
        <w:rPr>
          <w:rFonts w:ascii="Cambria" w:hAnsi="Cambria"/>
          <w:sz w:val="20"/>
          <w:szCs w:val="20"/>
          <w:bdr w:val="none" w:sz="0" w:space="0" w:color="auto" w:frame="1"/>
        </w:rPr>
        <w:t>the admissibility requirement regarding the timeliness of the presentation to have been fulfilled</w:t>
      </w:r>
      <w:r w:rsidR="009C7FD6" w:rsidRPr="006F267A">
        <w:rPr>
          <w:rFonts w:ascii="Cambria" w:hAnsi="Cambria"/>
          <w:sz w:val="20"/>
          <w:szCs w:val="20"/>
          <w:bdr w:val="none" w:sz="0" w:space="0" w:color="auto" w:frame="1"/>
        </w:rPr>
        <w:t>.</w:t>
      </w:r>
    </w:p>
    <w:p w:rsidR="009C7FD6" w:rsidRPr="006F267A" w:rsidRDefault="009C7FD6" w:rsidP="009C7FD6">
      <w:pPr>
        <w:spacing w:before="240" w:after="240"/>
        <w:ind w:left="720"/>
        <w:jc w:val="both"/>
        <w:rPr>
          <w:rFonts w:asciiTheme="majorHAnsi" w:eastAsia="Cambria" w:hAnsiTheme="majorHAnsi" w:cs="Cambria"/>
          <w:b/>
          <w:color w:val="000000"/>
          <w:sz w:val="20"/>
          <w:szCs w:val="20"/>
          <w:u w:color="000000"/>
          <w:lang w:eastAsia="es-ES"/>
        </w:rPr>
      </w:pPr>
      <w:r w:rsidRPr="006F267A">
        <w:rPr>
          <w:rFonts w:asciiTheme="majorHAnsi" w:eastAsia="Cambria" w:hAnsiTheme="majorHAnsi" w:cs="Cambria"/>
          <w:b/>
          <w:bCs/>
          <w:color w:val="000000"/>
          <w:sz w:val="20"/>
          <w:szCs w:val="20"/>
          <w:u w:color="000000"/>
          <w:lang w:eastAsia="es-ES"/>
        </w:rPr>
        <w:t>VII.</w:t>
      </w:r>
      <w:r w:rsidRPr="006F267A">
        <w:rPr>
          <w:rFonts w:asciiTheme="majorHAnsi" w:eastAsia="Cambria" w:hAnsiTheme="majorHAnsi" w:cs="Cambria"/>
          <w:b/>
          <w:bCs/>
          <w:color w:val="000000"/>
          <w:sz w:val="20"/>
          <w:szCs w:val="20"/>
          <w:u w:color="000000"/>
          <w:lang w:eastAsia="es-ES"/>
        </w:rPr>
        <w:tab/>
      </w:r>
      <w:r w:rsidR="004525FB" w:rsidRPr="006F267A">
        <w:rPr>
          <w:rFonts w:asciiTheme="majorHAnsi" w:eastAsia="Cambria" w:hAnsiTheme="majorHAnsi" w:cs="Cambria"/>
          <w:b/>
          <w:bCs/>
          <w:color w:val="000000"/>
          <w:sz w:val="20"/>
          <w:szCs w:val="20"/>
          <w:u w:color="000000"/>
          <w:lang w:eastAsia="es-ES"/>
        </w:rPr>
        <w:t>COLORABLE CLAIM</w:t>
      </w:r>
    </w:p>
    <w:p w:rsidR="009C7FD6" w:rsidRPr="006F267A" w:rsidRDefault="00C36933" w:rsidP="00B906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267A">
        <w:rPr>
          <w:rFonts w:ascii="Cambria" w:hAnsi="Cambria"/>
          <w:sz w:val="20"/>
          <w:szCs w:val="20"/>
        </w:rPr>
        <w:t>In view of the elements of fact and law expounded by the parties and the nature of the issues brought to its knowledge</w:t>
      </w:r>
      <w:r w:rsidR="009C7FD6" w:rsidRPr="006F267A">
        <w:rPr>
          <w:rFonts w:ascii="Cambria" w:hAnsi="Cambria"/>
          <w:sz w:val="20"/>
          <w:szCs w:val="20"/>
        </w:rPr>
        <w:t xml:space="preserve">, </w:t>
      </w:r>
      <w:r w:rsidRPr="006F267A">
        <w:rPr>
          <w:rFonts w:ascii="Cambria" w:hAnsi="Cambria"/>
          <w:sz w:val="20"/>
          <w:szCs w:val="20"/>
        </w:rPr>
        <w:t>the Commission believes that the alleged extra-judicial execution of the alleged victi</w:t>
      </w:r>
      <w:r w:rsidR="00B906D4" w:rsidRPr="006F267A">
        <w:rPr>
          <w:rFonts w:ascii="Cambria" w:hAnsi="Cambria"/>
          <w:sz w:val="20"/>
          <w:szCs w:val="20"/>
        </w:rPr>
        <w:t>m</w:t>
      </w:r>
      <w:r w:rsidR="009C7FD6" w:rsidRPr="006F267A">
        <w:rPr>
          <w:rFonts w:ascii="Cambria" w:hAnsi="Cambria"/>
          <w:sz w:val="20"/>
          <w:szCs w:val="20"/>
        </w:rPr>
        <w:t xml:space="preserve">, </w:t>
      </w:r>
      <w:r w:rsidRPr="006F267A">
        <w:rPr>
          <w:rFonts w:ascii="Cambria" w:hAnsi="Cambria"/>
          <w:sz w:val="20"/>
          <w:szCs w:val="20"/>
        </w:rPr>
        <w:t>the moving of his body in order to be presented as a member of a guerrilla group who had died in combat</w:t>
      </w:r>
      <w:r w:rsidR="009C7FD6" w:rsidRPr="006F267A">
        <w:rPr>
          <w:rFonts w:ascii="Cambria" w:hAnsi="Cambria"/>
          <w:sz w:val="20"/>
          <w:szCs w:val="20"/>
        </w:rPr>
        <w:t xml:space="preserve">, </w:t>
      </w:r>
      <w:r w:rsidRPr="006F267A">
        <w:rPr>
          <w:rFonts w:ascii="Cambria" w:hAnsi="Cambria"/>
          <w:sz w:val="20"/>
          <w:szCs w:val="20"/>
        </w:rPr>
        <w:t xml:space="preserve">the lack of effective judicial protection </w:t>
      </w:r>
      <w:r w:rsidR="00512471">
        <w:rPr>
          <w:rFonts w:ascii="Cambria" w:hAnsi="Cambria"/>
          <w:sz w:val="20"/>
          <w:szCs w:val="20"/>
        </w:rPr>
        <w:t xml:space="preserve">in the case </w:t>
      </w:r>
      <w:r w:rsidRPr="006F267A">
        <w:rPr>
          <w:rFonts w:ascii="Cambria" w:hAnsi="Cambria"/>
          <w:sz w:val="20"/>
          <w:szCs w:val="20"/>
        </w:rPr>
        <w:t>and the forced displacement of his family</w:t>
      </w:r>
      <w:r w:rsidR="009C7FD6" w:rsidRPr="006F267A">
        <w:rPr>
          <w:rFonts w:ascii="Cambria" w:hAnsi="Cambria"/>
          <w:sz w:val="20"/>
          <w:szCs w:val="20"/>
        </w:rPr>
        <w:t xml:space="preserve">, </w:t>
      </w:r>
      <w:r w:rsidRPr="006F267A">
        <w:rPr>
          <w:rFonts w:ascii="Cambria" w:hAnsi="Cambria"/>
          <w:sz w:val="20"/>
          <w:szCs w:val="20"/>
        </w:rPr>
        <w:t>could constitute po</w:t>
      </w:r>
      <w:r w:rsidR="00B906D4" w:rsidRPr="006F267A">
        <w:rPr>
          <w:rFonts w:ascii="Cambria" w:hAnsi="Cambria"/>
          <w:sz w:val="20"/>
          <w:szCs w:val="20"/>
        </w:rPr>
        <w:t>s</w:t>
      </w:r>
      <w:r w:rsidRPr="006F267A">
        <w:rPr>
          <w:rFonts w:ascii="Cambria" w:hAnsi="Cambria"/>
          <w:sz w:val="20"/>
          <w:szCs w:val="20"/>
        </w:rPr>
        <w:t xml:space="preserve">sible violations of articles </w:t>
      </w:r>
      <w:r w:rsidR="009C7FD6" w:rsidRPr="006F267A">
        <w:rPr>
          <w:rFonts w:ascii="Cambria" w:hAnsi="Cambria"/>
          <w:sz w:val="20"/>
          <w:szCs w:val="20"/>
        </w:rPr>
        <w:t>4 (</w:t>
      </w:r>
      <w:r w:rsidRPr="006F267A">
        <w:rPr>
          <w:rFonts w:ascii="Cambria" w:hAnsi="Cambria"/>
          <w:sz w:val="20"/>
          <w:szCs w:val="20"/>
        </w:rPr>
        <w:t>Right to Life</w:t>
      </w:r>
      <w:r w:rsidR="009C7FD6" w:rsidRPr="006F267A">
        <w:rPr>
          <w:rFonts w:ascii="Cambria" w:hAnsi="Cambria"/>
          <w:sz w:val="20"/>
          <w:szCs w:val="20"/>
        </w:rPr>
        <w:t>), 5 (</w:t>
      </w:r>
      <w:r w:rsidR="00B906D4" w:rsidRPr="006F267A">
        <w:rPr>
          <w:rFonts w:ascii="Cambria" w:hAnsi="Cambria"/>
          <w:sz w:val="20"/>
          <w:szCs w:val="20"/>
        </w:rPr>
        <w:t xml:space="preserve">Right to </w:t>
      </w:r>
      <w:r w:rsidR="00CB39FC">
        <w:rPr>
          <w:rFonts w:ascii="Cambria" w:hAnsi="Cambria"/>
          <w:sz w:val="20"/>
          <w:szCs w:val="20"/>
        </w:rPr>
        <w:t>personal integrity</w:t>
      </w:r>
      <w:r w:rsidR="009C7FD6" w:rsidRPr="006F267A">
        <w:rPr>
          <w:rFonts w:ascii="Cambria" w:hAnsi="Cambria"/>
          <w:sz w:val="20"/>
          <w:szCs w:val="20"/>
        </w:rPr>
        <w:t>), 7 (</w:t>
      </w:r>
      <w:r w:rsidR="00B906D4" w:rsidRPr="006F267A">
        <w:rPr>
          <w:rFonts w:ascii="Cambria" w:hAnsi="Cambria"/>
          <w:sz w:val="20"/>
          <w:szCs w:val="20"/>
        </w:rPr>
        <w:t>Right to Personal Liberty</w:t>
      </w:r>
      <w:r w:rsidR="009C7FD6" w:rsidRPr="006F267A">
        <w:rPr>
          <w:rFonts w:ascii="Cambria" w:hAnsi="Cambria"/>
          <w:sz w:val="20"/>
          <w:szCs w:val="20"/>
        </w:rPr>
        <w:t>), 8 (</w:t>
      </w:r>
      <w:r w:rsidR="00B906D4" w:rsidRPr="006F267A">
        <w:rPr>
          <w:rFonts w:ascii="Cambria" w:hAnsi="Cambria"/>
          <w:sz w:val="20"/>
          <w:szCs w:val="20"/>
        </w:rPr>
        <w:t>judicial guarantees</w:t>
      </w:r>
      <w:r w:rsidR="009C7FD6" w:rsidRPr="006F267A">
        <w:rPr>
          <w:rFonts w:ascii="Cambria" w:hAnsi="Cambria"/>
          <w:sz w:val="20"/>
          <w:szCs w:val="20"/>
        </w:rPr>
        <w:t>), 11 (</w:t>
      </w:r>
      <w:r w:rsidR="00B906D4" w:rsidRPr="006F267A">
        <w:rPr>
          <w:rFonts w:ascii="Cambria" w:hAnsi="Cambria"/>
          <w:sz w:val="20"/>
          <w:szCs w:val="20"/>
        </w:rPr>
        <w:t>protection of honor and dignity</w:t>
      </w:r>
      <w:r w:rsidR="009C7FD6" w:rsidRPr="006F267A">
        <w:rPr>
          <w:rFonts w:ascii="Cambria" w:hAnsi="Cambria"/>
          <w:sz w:val="20"/>
          <w:szCs w:val="20"/>
        </w:rPr>
        <w:t>),  22 (</w:t>
      </w:r>
      <w:r w:rsidR="00B906D4" w:rsidRPr="006F267A">
        <w:rPr>
          <w:rFonts w:ascii="Cambria" w:hAnsi="Cambria"/>
          <w:sz w:val="20"/>
          <w:szCs w:val="20"/>
        </w:rPr>
        <w:t>Freedom of Movement and Residence</w:t>
      </w:r>
      <w:r w:rsidR="009C7FD6" w:rsidRPr="006F267A">
        <w:rPr>
          <w:rFonts w:ascii="Cambria" w:hAnsi="Cambria"/>
          <w:sz w:val="20"/>
          <w:szCs w:val="20"/>
        </w:rPr>
        <w:t xml:space="preserve">) </w:t>
      </w:r>
      <w:r w:rsidR="00B906D4" w:rsidRPr="006F267A">
        <w:rPr>
          <w:rFonts w:ascii="Cambria" w:hAnsi="Cambria"/>
          <w:sz w:val="20"/>
          <w:szCs w:val="20"/>
        </w:rPr>
        <w:t xml:space="preserve">and </w:t>
      </w:r>
      <w:r w:rsidR="009C7FD6" w:rsidRPr="006F267A">
        <w:rPr>
          <w:rFonts w:ascii="Cambria" w:hAnsi="Cambria"/>
          <w:sz w:val="20"/>
          <w:szCs w:val="20"/>
        </w:rPr>
        <w:t>25 (</w:t>
      </w:r>
      <w:r w:rsidR="00B906D4" w:rsidRPr="006F267A">
        <w:rPr>
          <w:rFonts w:ascii="Cambria" w:hAnsi="Cambria"/>
          <w:sz w:val="20"/>
          <w:szCs w:val="20"/>
        </w:rPr>
        <w:t>Right to Judicial Protection</w:t>
      </w:r>
      <w:r w:rsidR="009C7FD6" w:rsidRPr="006F267A">
        <w:rPr>
          <w:rFonts w:ascii="Cambria" w:hAnsi="Cambria"/>
          <w:sz w:val="20"/>
          <w:szCs w:val="20"/>
        </w:rPr>
        <w:t xml:space="preserve">) </w:t>
      </w:r>
      <w:r w:rsidR="00B906D4" w:rsidRPr="006F267A">
        <w:rPr>
          <w:rFonts w:ascii="Cambria" w:hAnsi="Cambria"/>
          <w:sz w:val="20"/>
          <w:szCs w:val="20"/>
        </w:rPr>
        <w:t xml:space="preserve">of the American Convention in connection with article </w:t>
      </w:r>
      <w:r w:rsidR="009C7FD6" w:rsidRPr="006F267A">
        <w:rPr>
          <w:rFonts w:ascii="Cambria" w:hAnsi="Cambria"/>
          <w:sz w:val="20"/>
          <w:szCs w:val="20"/>
        </w:rPr>
        <w:t xml:space="preserve">1.1 </w:t>
      </w:r>
      <w:r w:rsidR="00B906D4" w:rsidRPr="006F267A">
        <w:rPr>
          <w:rFonts w:ascii="Cambria" w:hAnsi="Cambria"/>
          <w:sz w:val="20"/>
          <w:szCs w:val="20"/>
        </w:rPr>
        <w:t xml:space="preserve">and </w:t>
      </w:r>
      <w:r w:rsidR="009C7FD6" w:rsidRPr="006F267A">
        <w:rPr>
          <w:rFonts w:ascii="Cambria" w:hAnsi="Cambria"/>
          <w:sz w:val="20"/>
          <w:szCs w:val="20"/>
        </w:rPr>
        <w:t>2</w:t>
      </w:r>
      <w:r w:rsidR="00CB39FC">
        <w:rPr>
          <w:rFonts w:ascii="Cambria" w:hAnsi="Cambria"/>
          <w:sz w:val="20"/>
          <w:szCs w:val="20"/>
        </w:rPr>
        <w:t xml:space="preserve"> thereof</w:t>
      </w:r>
      <w:r w:rsidR="009C7FD6" w:rsidRPr="006F267A">
        <w:rPr>
          <w:rFonts w:ascii="Cambria" w:hAnsi="Cambria"/>
          <w:sz w:val="20"/>
          <w:szCs w:val="20"/>
        </w:rPr>
        <w:t xml:space="preserve">, </w:t>
      </w:r>
      <w:r w:rsidR="00B906D4" w:rsidRPr="006F267A">
        <w:rPr>
          <w:rFonts w:asciiTheme="majorHAnsi" w:hAnsiTheme="majorHAnsi"/>
          <w:sz w:val="20"/>
          <w:szCs w:val="20"/>
        </w:rPr>
        <w:t xml:space="preserve">as well as of articles </w:t>
      </w:r>
      <w:r w:rsidR="009C7FD6" w:rsidRPr="006F267A">
        <w:rPr>
          <w:rFonts w:asciiTheme="majorHAnsi" w:hAnsiTheme="majorHAnsi"/>
          <w:sz w:val="20"/>
          <w:szCs w:val="20"/>
        </w:rPr>
        <w:t xml:space="preserve">1, 6 </w:t>
      </w:r>
      <w:r w:rsidR="00B906D4" w:rsidRPr="006F267A">
        <w:rPr>
          <w:rFonts w:asciiTheme="majorHAnsi" w:hAnsiTheme="majorHAnsi"/>
          <w:sz w:val="20"/>
          <w:szCs w:val="20"/>
        </w:rPr>
        <w:t xml:space="preserve">and </w:t>
      </w:r>
      <w:r w:rsidR="009C7FD6" w:rsidRPr="006F267A">
        <w:rPr>
          <w:rFonts w:asciiTheme="majorHAnsi" w:hAnsiTheme="majorHAnsi"/>
          <w:sz w:val="20"/>
          <w:szCs w:val="20"/>
        </w:rPr>
        <w:t xml:space="preserve">8 </w:t>
      </w:r>
      <w:r w:rsidR="00B906D4" w:rsidRPr="006F267A">
        <w:rPr>
          <w:rFonts w:asciiTheme="majorHAnsi" w:hAnsiTheme="majorHAnsi"/>
          <w:sz w:val="20"/>
          <w:szCs w:val="20"/>
        </w:rPr>
        <w:t>of the Inter-American Convention to Prevent and Punish Torture</w:t>
      </w:r>
      <w:r w:rsidR="009C7FD6" w:rsidRPr="006F267A">
        <w:rPr>
          <w:rFonts w:asciiTheme="majorHAnsi" w:hAnsiTheme="majorHAnsi"/>
          <w:sz w:val="20"/>
          <w:szCs w:val="20"/>
        </w:rPr>
        <w:t xml:space="preserve">, </w:t>
      </w:r>
      <w:r w:rsidR="00B33A9E" w:rsidRPr="006F267A">
        <w:rPr>
          <w:rFonts w:ascii="Cambria" w:hAnsi="Cambria"/>
          <w:sz w:val="20"/>
          <w:szCs w:val="20"/>
        </w:rPr>
        <w:t>to the detriment of the alleged victim and his family</w:t>
      </w:r>
      <w:r w:rsidR="009C7FD6" w:rsidRPr="006F267A">
        <w:rPr>
          <w:rFonts w:ascii="Cambria" w:hAnsi="Cambria"/>
          <w:sz w:val="20"/>
          <w:szCs w:val="20"/>
        </w:rPr>
        <w:t xml:space="preserve">. </w:t>
      </w:r>
    </w:p>
    <w:p w:rsidR="009C7FD6" w:rsidRPr="006F267A" w:rsidRDefault="00C633DB" w:rsidP="009C7F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267A">
        <w:rPr>
          <w:rFonts w:asciiTheme="majorHAnsi" w:hAnsiTheme="majorHAnsi"/>
          <w:sz w:val="20"/>
          <w:szCs w:val="20"/>
        </w:rPr>
        <w:t>With respect to the claim about the alleged violation of the right</w:t>
      </w:r>
      <w:r w:rsidR="002A4D9A">
        <w:rPr>
          <w:rFonts w:asciiTheme="majorHAnsi" w:hAnsiTheme="majorHAnsi"/>
          <w:sz w:val="20"/>
          <w:szCs w:val="20"/>
        </w:rPr>
        <w:t>s</w:t>
      </w:r>
      <w:r w:rsidRPr="006F267A">
        <w:rPr>
          <w:rFonts w:asciiTheme="majorHAnsi" w:hAnsiTheme="majorHAnsi"/>
          <w:sz w:val="20"/>
          <w:szCs w:val="20"/>
        </w:rPr>
        <w:t xml:space="preserve"> contained in article</w:t>
      </w:r>
      <w:r w:rsidR="002A4D9A">
        <w:rPr>
          <w:rFonts w:asciiTheme="majorHAnsi" w:hAnsiTheme="majorHAnsi"/>
          <w:sz w:val="20"/>
          <w:szCs w:val="20"/>
        </w:rPr>
        <w:t>s 3 and</w:t>
      </w:r>
      <w:r w:rsidRPr="006F267A">
        <w:rPr>
          <w:rFonts w:asciiTheme="majorHAnsi" w:hAnsiTheme="majorHAnsi"/>
          <w:sz w:val="20"/>
          <w:szCs w:val="20"/>
        </w:rPr>
        <w:t xml:space="preserve"> </w:t>
      </w:r>
      <w:r w:rsidR="009C7FD6" w:rsidRPr="006F267A">
        <w:rPr>
          <w:rFonts w:asciiTheme="majorHAnsi" w:hAnsiTheme="majorHAnsi"/>
          <w:sz w:val="20"/>
          <w:szCs w:val="20"/>
        </w:rPr>
        <w:t xml:space="preserve">17 </w:t>
      </w:r>
      <w:r w:rsidRPr="006F267A">
        <w:rPr>
          <w:rFonts w:asciiTheme="majorHAnsi" w:hAnsiTheme="majorHAnsi"/>
          <w:sz w:val="20"/>
          <w:szCs w:val="20"/>
        </w:rPr>
        <w:t>of the Convention</w:t>
      </w:r>
      <w:r w:rsidR="009C7FD6" w:rsidRPr="006F267A">
        <w:rPr>
          <w:rFonts w:asciiTheme="majorHAnsi" w:hAnsiTheme="majorHAnsi"/>
          <w:sz w:val="20"/>
          <w:szCs w:val="20"/>
        </w:rPr>
        <w:t xml:space="preserve">, </w:t>
      </w:r>
      <w:r w:rsidRPr="006F267A">
        <w:rPr>
          <w:rFonts w:asciiTheme="majorHAnsi" w:hAnsiTheme="majorHAnsi"/>
          <w:sz w:val="20"/>
          <w:szCs w:val="20"/>
        </w:rPr>
        <w:t>the Commission believes that the petitioners have not put forward arguments or grounds to demonstrate its alleged violation</w:t>
      </w:r>
      <w:r w:rsidR="002A4D9A">
        <w:rPr>
          <w:rFonts w:asciiTheme="majorHAnsi" w:hAnsiTheme="majorHAnsi"/>
          <w:sz w:val="20"/>
          <w:szCs w:val="20"/>
        </w:rPr>
        <w:t>s</w:t>
      </w:r>
      <w:r w:rsidR="009C7FD6" w:rsidRPr="006F267A">
        <w:rPr>
          <w:rFonts w:asciiTheme="majorHAnsi" w:hAnsiTheme="majorHAnsi"/>
          <w:sz w:val="20"/>
          <w:szCs w:val="20"/>
        </w:rPr>
        <w:t xml:space="preserve">, </w:t>
      </w:r>
      <w:r w:rsidRPr="006F267A">
        <w:rPr>
          <w:rFonts w:asciiTheme="majorHAnsi" w:hAnsiTheme="majorHAnsi"/>
          <w:sz w:val="20"/>
          <w:szCs w:val="20"/>
        </w:rPr>
        <w:t>and therefore considers it cannot declare this petition admissible</w:t>
      </w:r>
      <w:r w:rsidR="009C7FD6" w:rsidRPr="006F267A">
        <w:rPr>
          <w:rFonts w:asciiTheme="majorHAnsi" w:hAnsiTheme="majorHAnsi"/>
          <w:sz w:val="20"/>
          <w:szCs w:val="20"/>
        </w:rPr>
        <w:t>.</w:t>
      </w:r>
    </w:p>
    <w:p w:rsidR="009C7FD6" w:rsidRPr="006F267A" w:rsidRDefault="009C7FD6" w:rsidP="009C7FD6">
      <w:pPr>
        <w:spacing w:before="240" w:after="240"/>
        <w:ind w:left="720"/>
        <w:jc w:val="both"/>
        <w:rPr>
          <w:rFonts w:asciiTheme="majorHAnsi" w:eastAsia="Cambria" w:hAnsiTheme="majorHAnsi" w:cs="Cambria"/>
          <w:b/>
          <w:bCs/>
          <w:color w:val="000000"/>
          <w:sz w:val="20"/>
          <w:szCs w:val="20"/>
          <w:u w:color="000000"/>
          <w:lang w:eastAsia="es-ES"/>
        </w:rPr>
      </w:pPr>
      <w:r w:rsidRPr="006F267A">
        <w:rPr>
          <w:rFonts w:asciiTheme="majorHAnsi" w:eastAsia="Cambria" w:hAnsiTheme="majorHAnsi" w:cs="Cambria"/>
          <w:b/>
          <w:bCs/>
          <w:color w:val="000000"/>
          <w:sz w:val="20"/>
          <w:szCs w:val="20"/>
          <w:u w:color="000000"/>
          <w:lang w:eastAsia="es-ES"/>
        </w:rPr>
        <w:t xml:space="preserve">VIII. </w:t>
      </w:r>
      <w:r w:rsidRPr="006F267A">
        <w:rPr>
          <w:rFonts w:asciiTheme="majorHAnsi" w:eastAsia="Cambria" w:hAnsiTheme="majorHAnsi" w:cs="Cambria"/>
          <w:b/>
          <w:bCs/>
          <w:color w:val="000000"/>
          <w:sz w:val="20"/>
          <w:szCs w:val="20"/>
          <w:u w:color="000000"/>
          <w:lang w:eastAsia="es-ES"/>
        </w:rPr>
        <w:tab/>
      </w:r>
      <w:r w:rsidR="004525FB" w:rsidRPr="006F267A">
        <w:rPr>
          <w:rFonts w:asciiTheme="majorHAnsi" w:eastAsia="Cambria" w:hAnsiTheme="majorHAnsi" w:cs="Cambria"/>
          <w:b/>
          <w:bCs/>
          <w:color w:val="000000"/>
          <w:sz w:val="20"/>
          <w:szCs w:val="20"/>
          <w:u w:color="000000"/>
          <w:lang w:eastAsia="es-ES"/>
        </w:rPr>
        <w:t xml:space="preserve">DECISION </w:t>
      </w:r>
    </w:p>
    <w:p w:rsidR="009C7FD6" w:rsidRPr="00085D81" w:rsidRDefault="002C5E96" w:rsidP="009C7FD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Cambria" w:hAnsi="Cambria"/>
          <w:sz w:val="20"/>
          <w:szCs w:val="20"/>
          <w:bdr w:val="none" w:sz="0" w:space="0" w:color="auto"/>
        </w:rPr>
        <w:t xml:space="preserve">To find the present petition admissible in relation to articles 4, 5, 7, 8, 11 and 25 of the American Convention, </w:t>
      </w:r>
      <w:r w:rsidR="00CB39FC">
        <w:rPr>
          <w:rFonts w:ascii="Cambria" w:hAnsi="Cambria"/>
          <w:sz w:val="20"/>
          <w:szCs w:val="20"/>
          <w:bdr w:val="none" w:sz="0" w:space="0" w:color="auto"/>
        </w:rPr>
        <w:t>in connection with article</w:t>
      </w:r>
      <w:r w:rsidRPr="006F267A">
        <w:rPr>
          <w:rFonts w:ascii="Cambria" w:hAnsi="Cambria"/>
          <w:sz w:val="20"/>
          <w:szCs w:val="20"/>
          <w:bdr w:val="none" w:sz="0" w:space="0" w:color="auto"/>
        </w:rPr>
        <w:t xml:space="preserve"> 1.1 and 2 thereof</w:t>
      </w:r>
      <w:r w:rsidR="009C7FD6" w:rsidRPr="006F267A">
        <w:rPr>
          <w:rFonts w:asciiTheme="majorHAnsi" w:hAnsiTheme="majorHAnsi"/>
          <w:sz w:val="20"/>
          <w:szCs w:val="20"/>
        </w:rPr>
        <w:t>;</w:t>
      </w:r>
    </w:p>
    <w:p w:rsidR="00085D81" w:rsidRPr="006F267A" w:rsidRDefault="00085D81" w:rsidP="009C7FD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bdr w:val="none" w:sz="0" w:space="0" w:color="auto"/>
        </w:rPr>
        <w:t xml:space="preserve">To find the present petition admissible in relation to articles </w:t>
      </w:r>
      <w:r w:rsidRPr="006F267A">
        <w:rPr>
          <w:rFonts w:asciiTheme="majorHAnsi" w:hAnsiTheme="majorHAnsi"/>
          <w:sz w:val="20"/>
          <w:szCs w:val="20"/>
        </w:rPr>
        <w:t>1, 6 and 8 of the Inter-American Convention to Prevent and Punish Torture</w:t>
      </w:r>
      <w:r>
        <w:rPr>
          <w:rFonts w:asciiTheme="majorHAnsi" w:hAnsiTheme="majorHAnsi"/>
          <w:sz w:val="20"/>
          <w:szCs w:val="20"/>
        </w:rPr>
        <w:t>;</w:t>
      </w:r>
    </w:p>
    <w:p w:rsidR="009C7FD6" w:rsidRPr="006F267A" w:rsidRDefault="002C5E96" w:rsidP="009C7FD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Cambria" w:hAnsi="Cambria"/>
          <w:sz w:val="20"/>
          <w:szCs w:val="20"/>
          <w:bdr w:val="none" w:sz="0" w:space="0" w:color="auto"/>
        </w:rPr>
        <w:t>To find the present petition inadmissible in relation to article</w:t>
      </w:r>
      <w:r w:rsidR="00085D81">
        <w:rPr>
          <w:rFonts w:ascii="Cambria" w:hAnsi="Cambria"/>
          <w:sz w:val="20"/>
          <w:szCs w:val="20"/>
          <w:bdr w:val="none" w:sz="0" w:space="0" w:color="auto"/>
        </w:rPr>
        <w:t>s 3 and</w:t>
      </w:r>
      <w:r w:rsidRPr="006F267A">
        <w:rPr>
          <w:rFonts w:ascii="Cambria" w:hAnsi="Cambria"/>
          <w:sz w:val="20"/>
          <w:szCs w:val="20"/>
          <w:bdr w:val="none" w:sz="0" w:space="0" w:color="auto"/>
        </w:rPr>
        <w:t xml:space="preserve"> 17 of the American Convention</w:t>
      </w:r>
      <w:r w:rsidR="009C7FD6" w:rsidRPr="006F267A">
        <w:rPr>
          <w:rFonts w:ascii="Cambria" w:hAnsi="Cambria"/>
          <w:sz w:val="20"/>
          <w:szCs w:val="20"/>
        </w:rPr>
        <w:t>;</w:t>
      </w:r>
    </w:p>
    <w:p w:rsidR="009C7FD6" w:rsidRPr="006F267A" w:rsidRDefault="002C5E96" w:rsidP="009C7FD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Theme="majorHAnsi" w:hAnsiTheme="majorHAnsi"/>
          <w:sz w:val="20"/>
          <w:szCs w:val="20"/>
        </w:rPr>
        <w:t>To notify the parties of this decision</w:t>
      </w:r>
      <w:r w:rsidR="009C7FD6" w:rsidRPr="006F267A">
        <w:rPr>
          <w:rFonts w:asciiTheme="majorHAnsi" w:hAnsiTheme="majorHAnsi"/>
          <w:sz w:val="20"/>
          <w:szCs w:val="20"/>
        </w:rPr>
        <w:t>;</w:t>
      </w:r>
    </w:p>
    <w:p w:rsidR="009C7FD6" w:rsidRPr="006F267A" w:rsidRDefault="00377932" w:rsidP="009C7FD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Theme="majorHAnsi" w:hAnsiTheme="majorHAnsi"/>
          <w:sz w:val="20"/>
          <w:szCs w:val="20"/>
        </w:rPr>
        <w:t>To continue with the analysis on the merits</w:t>
      </w:r>
      <w:r w:rsidR="009C7FD6" w:rsidRPr="006F267A">
        <w:rPr>
          <w:rFonts w:asciiTheme="majorHAnsi" w:hAnsiTheme="majorHAnsi"/>
          <w:sz w:val="20"/>
          <w:szCs w:val="20"/>
        </w:rPr>
        <w:t>;</w:t>
      </w:r>
    </w:p>
    <w:p w:rsidR="009C7FD6" w:rsidRPr="006F267A" w:rsidRDefault="00F81404" w:rsidP="009C7FD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6F267A">
        <w:rPr>
          <w:rFonts w:asciiTheme="majorHAnsi" w:hAnsiTheme="majorHAnsi"/>
          <w:sz w:val="20"/>
          <w:szCs w:val="20"/>
        </w:rPr>
        <w:t xml:space="preserve">To join these proceedings to case </w:t>
      </w:r>
      <w:r w:rsidR="009C7FD6" w:rsidRPr="006F267A">
        <w:rPr>
          <w:rFonts w:asciiTheme="majorHAnsi" w:hAnsiTheme="majorHAnsi"/>
          <w:sz w:val="20"/>
          <w:szCs w:val="20"/>
        </w:rPr>
        <w:t xml:space="preserve">12.998 </w:t>
      </w:r>
      <w:r w:rsidRPr="006F267A">
        <w:rPr>
          <w:rFonts w:asciiTheme="majorHAnsi" w:hAnsiTheme="majorHAnsi"/>
          <w:sz w:val="20"/>
          <w:szCs w:val="20"/>
        </w:rPr>
        <w:t xml:space="preserve">which is currently being </w:t>
      </w:r>
      <w:r w:rsidR="00CB39FC">
        <w:rPr>
          <w:rFonts w:asciiTheme="majorHAnsi" w:hAnsiTheme="majorHAnsi"/>
          <w:sz w:val="20"/>
          <w:szCs w:val="20"/>
        </w:rPr>
        <w:t>analyze</w:t>
      </w:r>
      <w:r w:rsidRPr="006F267A">
        <w:rPr>
          <w:rFonts w:asciiTheme="majorHAnsi" w:hAnsiTheme="majorHAnsi"/>
          <w:sz w:val="20"/>
          <w:szCs w:val="20"/>
        </w:rPr>
        <w:t>d on the merits</w:t>
      </w:r>
      <w:r w:rsidR="009C7FD6" w:rsidRPr="006F267A">
        <w:rPr>
          <w:rFonts w:asciiTheme="majorHAnsi" w:hAnsiTheme="majorHAnsi"/>
          <w:sz w:val="20"/>
          <w:szCs w:val="20"/>
        </w:rPr>
        <w:t xml:space="preserve">; </w:t>
      </w:r>
      <w:r w:rsidRPr="006F267A">
        <w:rPr>
          <w:rFonts w:asciiTheme="majorHAnsi" w:hAnsiTheme="majorHAnsi"/>
          <w:sz w:val="20"/>
          <w:szCs w:val="20"/>
        </w:rPr>
        <w:t>and</w:t>
      </w:r>
    </w:p>
    <w:p w:rsidR="009C7FD6" w:rsidRPr="006F267A" w:rsidRDefault="00377932" w:rsidP="009C7FD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F267A">
        <w:rPr>
          <w:rFonts w:asciiTheme="majorHAnsi" w:hAnsiTheme="majorHAnsi"/>
          <w:sz w:val="20"/>
          <w:szCs w:val="20"/>
        </w:rPr>
        <w:t>To publish this decision and include it in its Annual Report to the General Assembly of the Organization of American States.</w:t>
      </w:r>
    </w:p>
    <w:p w:rsidR="00231860" w:rsidRPr="0019756B" w:rsidRDefault="00231860" w:rsidP="00231860">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in the city of </w:t>
      </w:r>
      <w:r>
        <w:rPr>
          <w:rFonts w:ascii="Cambria" w:hAnsi="Cambria"/>
          <w:spacing w:val="-2"/>
          <w:sz w:val="20"/>
        </w:rPr>
        <w:t>Buenos Aires, Argentina, on the 25</w:t>
      </w:r>
      <w:r w:rsidRPr="00365F2F">
        <w:rPr>
          <w:rFonts w:ascii="Cambria" w:hAnsi="Cambria"/>
          <w:spacing w:val="-2"/>
          <w:sz w:val="20"/>
        </w:rPr>
        <w:t xml:space="preserve"> 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2017</w:t>
      </w:r>
      <w:r w:rsidRPr="00365F2F">
        <w:rPr>
          <w:rFonts w:ascii="Cambria" w:hAnsi="Cambria"/>
          <w:spacing w:val="-2"/>
          <w:sz w:val="20"/>
        </w:rPr>
        <w:t xml:space="preserve">. (Signed):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Margarette May Macaulay, </w:t>
      </w:r>
      <w:r w:rsidRPr="00365F2F">
        <w:rPr>
          <w:rFonts w:ascii="Cambria" w:hAnsi="Cambria"/>
          <w:spacing w:val="-2"/>
          <w:sz w:val="20"/>
        </w:rPr>
        <w:t>First Vice President</w:t>
      </w:r>
      <w:r>
        <w:rPr>
          <w:rFonts w:ascii="Cambria" w:hAnsi="Cambria"/>
          <w:spacing w:val="-2"/>
          <w:sz w:val="20"/>
        </w:rPr>
        <w:t>;</w:t>
      </w:r>
      <w:r w:rsidRPr="00365F2F">
        <w:rPr>
          <w:rFonts w:ascii="Cambria" w:hAnsi="Cambria" w:cs="Arial"/>
          <w:noProof/>
          <w:spacing w:val="-2"/>
          <w:sz w:val="20"/>
        </w:rPr>
        <w:t xml:space="preserve"> </w:t>
      </w:r>
      <w:r w:rsidRPr="000500D4">
        <w:rPr>
          <w:rFonts w:ascii="Cambria" w:hAnsi="Cambria" w:cs="Arial"/>
          <w:noProof/>
          <w:spacing w:val="-2"/>
          <w:sz w:val="20"/>
        </w:rPr>
        <w:t xml:space="preserve">Esmeralda E. Arosemena Bernal de Troitiño, </w:t>
      </w:r>
      <w:r>
        <w:rPr>
          <w:rFonts w:ascii="Cambria" w:hAnsi="Cambria" w:cs="Arial"/>
          <w:noProof/>
          <w:spacing w:val="-2"/>
          <w:sz w:val="20"/>
        </w:rPr>
        <w:t>Second Vice President;</w:t>
      </w:r>
      <w:r>
        <w:rPr>
          <w:rFonts w:ascii="Cambria" w:hAnsi="Cambria"/>
          <w:sz w:val="20"/>
        </w:rPr>
        <w:t xml:space="preserve"> </w:t>
      </w:r>
      <w:r>
        <w:rPr>
          <w:rFonts w:ascii="Cambria" w:hAnsi="Cambria" w:cs="Arial"/>
          <w:noProof/>
          <w:spacing w:val="-2"/>
          <w:sz w:val="20"/>
        </w:rPr>
        <w:t xml:space="preserve">José de Jesús Orozco Henríquez, Paulo Vannuchi, and James L. Cavallaro, </w:t>
      </w:r>
      <w:r w:rsidRPr="00365F2F">
        <w:rPr>
          <w:rFonts w:ascii="Cambria" w:hAnsi="Cambria"/>
          <w:spacing w:val="-2"/>
          <w:sz w:val="20"/>
        </w:rPr>
        <w:t>Commissioners.</w:t>
      </w:r>
    </w:p>
    <w:p w:rsidR="00C55560" w:rsidRPr="006F267A" w:rsidRDefault="00C55560" w:rsidP="00E832F9">
      <w:pPr>
        <w:tabs>
          <w:tab w:val="center" w:pos="5400"/>
        </w:tabs>
        <w:suppressAutoHyphens/>
        <w:rPr>
          <w:rFonts w:asciiTheme="majorHAnsi" w:hAnsiTheme="majorHAnsi"/>
          <w:sz w:val="20"/>
          <w:szCs w:val="20"/>
        </w:rPr>
      </w:pPr>
    </w:p>
    <w:sectPr w:rsidR="00C55560" w:rsidRPr="006F267A"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1C4" w:rsidRDefault="002C01C4" w:rsidP="00036A8A">
      <w:r>
        <w:separator/>
      </w:r>
    </w:p>
  </w:endnote>
  <w:endnote w:type="continuationSeparator" w:id="0">
    <w:p w:rsidR="002C01C4" w:rsidRDefault="002C01C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C2" w:rsidRDefault="009B00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141D86" w:rsidRPr="006311DA" w:rsidRDefault="00141D8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00C2">
          <w:rPr>
            <w:noProof/>
            <w:sz w:val="16"/>
          </w:rPr>
          <w:t>1</w:t>
        </w:r>
        <w:r w:rsidRPr="006311DA">
          <w:rPr>
            <w:noProof/>
            <w:sz w:val="16"/>
          </w:rPr>
          <w:fldChar w:fldCharType="end"/>
        </w:r>
      </w:p>
    </w:sdtContent>
  </w:sdt>
  <w:p w:rsidR="00141D86" w:rsidRDefault="00141D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D86" w:rsidRDefault="00141D86">
    <w:pPr>
      <w:pStyle w:val="Footer"/>
      <w:jc w:val="center"/>
    </w:pPr>
  </w:p>
  <w:p w:rsidR="00141D86" w:rsidRDefault="00141D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141D86" w:rsidRDefault="00141D8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41D86" w:rsidRDefault="00141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1C4" w:rsidRPr="00036A8A" w:rsidRDefault="002C01C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C01C4" w:rsidRPr="00036A8A" w:rsidRDefault="002C01C4" w:rsidP="00036A8A">
      <w:pPr>
        <w:rPr>
          <w:rFonts w:asciiTheme="majorHAnsi" w:hAnsiTheme="majorHAnsi"/>
          <w:sz w:val="16"/>
          <w:szCs w:val="16"/>
        </w:rPr>
      </w:pPr>
      <w:r w:rsidRPr="00036A8A">
        <w:rPr>
          <w:rFonts w:asciiTheme="majorHAnsi" w:hAnsiTheme="majorHAnsi"/>
          <w:sz w:val="16"/>
          <w:szCs w:val="16"/>
        </w:rPr>
        <w:separator/>
      </w:r>
    </w:p>
    <w:p w:rsidR="002C01C4" w:rsidRPr="00036A8A" w:rsidRDefault="002C01C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2C01C4" w:rsidRPr="0093441A" w:rsidRDefault="002C01C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141D86" w:rsidRPr="00062DF6" w:rsidRDefault="00141D86" w:rsidP="009C7FD6">
      <w:pPr>
        <w:pStyle w:val="FootnoteText"/>
        <w:spacing w:before="120"/>
        <w:ind w:firstLine="720"/>
        <w:jc w:val="both"/>
      </w:pPr>
      <w:r w:rsidRPr="00062DF6">
        <w:rPr>
          <w:rStyle w:val="FootnoteReference"/>
          <w:sz w:val="16"/>
          <w:szCs w:val="16"/>
        </w:rPr>
        <w:footnoteRef/>
      </w:r>
      <w:r w:rsidRPr="00062DF6">
        <w:rPr>
          <w:sz w:val="16"/>
          <w:szCs w:val="16"/>
        </w:rPr>
        <w:t xml:space="preserve"> </w:t>
      </w:r>
      <w:r w:rsidRPr="00062DF6">
        <w:rPr>
          <w:rFonts w:asciiTheme="majorHAnsi" w:hAnsiTheme="majorHAnsi"/>
          <w:sz w:val="16"/>
          <w:szCs w:val="16"/>
        </w:rPr>
        <w:t xml:space="preserve">On March 31st 2010 the IACHR received a petition against the State of Colombia presented by the </w:t>
      </w:r>
      <w:r w:rsidRPr="00062DF6">
        <w:rPr>
          <w:rFonts w:asciiTheme="majorHAnsi" w:hAnsiTheme="majorHAnsi"/>
          <w:i/>
          <w:sz w:val="16"/>
          <w:szCs w:val="16"/>
        </w:rPr>
        <w:t>Corporación Jurídica Libertad</w:t>
      </w:r>
      <w:r w:rsidRPr="00062DF6">
        <w:rPr>
          <w:rFonts w:asciiTheme="majorHAnsi" w:hAnsiTheme="majorHAnsi"/>
          <w:sz w:val="16"/>
          <w:szCs w:val="16"/>
        </w:rPr>
        <w:t xml:space="preserve"> </w:t>
      </w:r>
      <w:r w:rsidR="003A0CFF" w:rsidRPr="00062DF6">
        <w:rPr>
          <w:rFonts w:asciiTheme="majorHAnsi" w:hAnsiTheme="majorHAnsi"/>
          <w:sz w:val="16"/>
          <w:szCs w:val="16"/>
        </w:rPr>
        <w:t xml:space="preserve">NGO </w:t>
      </w:r>
      <w:r w:rsidRPr="00062DF6">
        <w:rPr>
          <w:rFonts w:asciiTheme="majorHAnsi" w:hAnsiTheme="majorHAnsi"/>
          <w:sz w:val="16"/>
          <w:szCs w:val="16"/>
        </w:rPr>
        <w:t xml:space="preserve">for the alleged extra-judicial execution of Oreste de Jesús Morales. That petition also refers to the alleged execution of José Ruperto Agudelo Ciro, which is alleged to have occurred in the same factual framework. Furthermore, on March 26th 2015 </w:t>
      </w:r>
      <w:r w:rsidR="003A0CFF" w:rsidRPr="00062DF6">
        <w:rPr>
          <w:rFonts w:asciiTheme="majorHAnsi" w:hAnsiTheme="majorHAnsi"/>
          <w:sz w:val="16"/>
          <w:szCs w:val="16"/>
        </w:rPr>
        <w:t xml:space="preserve">the </w:t>
      </w:r>
      <w:r w:rsidRPr="00062DF6">
        <w:rPr>
          <w:rFonts w:asciiTheme="majorHAnsi" w:hAnsiTheme="majorHAnsi"/>
          <w:i/>
          <w:sz w:val="16"/>
          <w:szCs w:val="16"/>
        </w:rPr>
        <w:t>Corporación Jurídica Libertad</w:t>
      </w:r>
      <w:r w:rsidRPr="00062DF6">
        <w:rPr>
          <w:rFonts w:asciiTheme="majorHAnsi" w:hAnsiTheme="majorHAnsi"/>
          <w:sz w:val="16"/>
          <w:szCs w:val="16"/>
        </w:rPr>
        <w:t xml:space="preserve"> </w:t>
      </w:r>
      <w:r w:rsidR="003A0CFF" w:rsidRPr="00062DF6">
        <w:rPr>
          <w:rFonts w:asciiTheme="majorHAnsi" w:hAnsiTheme="majorHAnsi"/>
          <w:sz w:val="16"/>
          <w:szCs w:val="16"/>
        </w:rPr>
        <w:t xml:space="preserve">NGO </w:t>
      </w:r>
      <w:r w:rsidRPr="00062DF6">
        <w:rPr>
          <w:rFonts w:asciiTheme="majorHAnsi" w:hAnsiTheme="majorHAnsi"/>
          <w:sz w:val="16"/>
          <w:szCs w:val="16"/>
        </w:rPr>
        <w:t>informed the IACHR that it would also start to represent the family of José Ruperto Agudelo Ciro. Due to an involuntary administrative error, that communication was not incorporated to the file of the petition, and consequently the facts regarding Mr. Agudelo Ciro were not taken into account by the IACHR when it adopted the Report on Admissibility No. 34/15 on July 22</w:t>
      </w:r>
      <w:r w:rsidRPr="00062DF6">
        <w:rPr>
          <w:rFonts w:asciiTheme="majorHAnsi" w:hAnsiTheme="majorHAnsi"/>
          <w:sz w:val="16"/>
          <w:szCs w:val="16"/>
          <w:vertAlign w:val="superscript"/>
        </w:rPr>
        <w:t>nd</w:t>
      </w:r>
      <w:r w:rsidRPr="00062DF6">
        <w:rPr>
          <w:rFonts w:asciiTheme="majorHAnsi" w:hAnsiTheme="majorHAnsi"/>
          <w:sz w:val="16"/>
          <w:szCs w:val="16"/>
        </w:rPr>
        <w:t xml:space="preserve"> 2015. </w:t>
      </w:r>
    </w:p>
  </w:footnote>
  <w:footnote w:id="3">
    <w:p w:rsidR="00141D86" w:rsidRPr="00062DF6" w:rsidRDefault="00141D86" w:rsidP="009C7FD6">
      <w:pPr>
        <w:pStyle w:val="FootnoteText"/>
        <w:ind w:firstLine="720"/>
        <w:jc w:val="both"/>
      </w:pPr>
      <w:r w:rsidRPr="00062DF6">
        <w:rPr>
          <w:rStyle w:val="FootnoteReference"/>
        </w:rPr>
        <w:footnoteRef/>
      </w:r>
      <w:r w:rsidRPr="00062DF6">
        <w:t xml:space="preserve"> </w:t>
      </w:r>
      <w:r w:rsidR="00B72501" w:rsidRPr="00062DF6">
        <w:rPr>
          <w:rFonts w:asciiTheme="majorHAnsi" w:hAnsiTheme="majorHAnsi"/>
          <w:sz w:val="16"/>
          <w:szCs w:val="16"/>
        </w:rPr>
        <w:t>Commissioner Luis Ernesto Vargas Silva, of Colombian nationality, did not participate in the discussion and decision of the present case, in accordance with article 17.2.a) of IACHR Regulations</w:t>
      </w:r>
      <w:r w:rsidRPr="00062DF6">
        <w:rPr>
          <w:rFonts w:asciiTheme="majorHAnsi" w:hAnsiTheme="majorHAnsi"/>
          <w:sz w:val="16"/>
          <w:szCs w:val="16"/>
        </w:rPr>
        <w:t>.</w:t>
      </w:r>
    </w:p>
  </w:footnote>
  <w:footnote w:id="4">
    <w:p w:rsidR="00141D86" w:rsidRPr="00062DF6" w:rsidRDefault="00141D86" w:rsidP="00141D86">
      <w:pPr>
        <w:pStyle w:val="FootnoteText"/>
        <w:spacing w:before="120"/>
        <w:ind w:firstLine="720"/>
        <w:jc w:val="both"/>
        <w:rPr>
          <w:rFonts w:asciiTheme="majorHAnsi" w:hAnsiTheme="majorHAnsi"/>
          <w:sz w:val="16"/>
          <w:szCs w:val="16"/>
        </w:rPr>
      </w:pPr>
      <w:r w:rsidRPr="00062DF6">
        <w:rPr>
          <w:rStyle w:val="FootnoteReference"/>
          <w:rFonts w:asciiTheme="majorHAnsi" w:hAnsiTheme="majorHAnsi"/>
          <w:sz w:val="16"/>
          <w:szCs w:val="16"/>
        </w:rPr>
        <w:footnoteRef/>
      </w:r>
      <w:r w:rsidRPr="00062DF6">
        <w:rPr>
          <w:rFonts w:asciiTheme="majorHAnsi" w:hAnsiTheme="majorHAnsi"/>
          <w:sz w:val="16"/>
          <w:szCs w:val="16"/>
        </w:rPr>
        <w:t xml:space="preserve"> </w:t>
      </w:r>
      <w:r w:rsidR="00B72501" w:rsidRPr="00062DF6">
        <w:rPr>
          <w:rFonts w:asciiTheme="majorHAnsi" w:hAnsiTheme="majorHAnsi"/>
          <w:sz w:val="16"/>
          <w:szCs w:val="16"/>
        </w:rPr>
        <w:t xml:space="preserve">Hereinafter </w:t>
      </w:r>
      <w:r w:rsidRPr="00062DF6">
        <w:rPr>
          <w:rFonts w:asciiTheme="majorHAnsi" w:hAnsiTheme="majorHAnsi"/>
          <w:sz w:val="16"/>
          <w:szCs w:val="16"/>
        </w:rPr>
        <w:t>“</w:t>
      </w:r>
      <w:r w:rsidR="00B72501" w:rsidRPr="00062DF6">
        <w:rPr>
          <w:rFonts w:asciiTheme="majorHAnsi" w:hAnsiTheme="majorHAnsi"/>
          <w:sz w:val="16"/>
          <w:szCs w:val="16"/>
        </w:rPr>
        <w:t>Convention</w:t>
      </w:r>
      <w:r w:rsidRPr="00062DF6">
        <w:rPr>
          <w:rFonts w:asciiTheme="majorHAnsi" w:hAnsiTheme="majorHAnsi"/>
          <w:sz w:val="16"/>
          <w:szCs w:val="16"/>
        </w:rPr>
        <w:t>” o</w:t>
      </w:r>
      <w:r w:rsidR="00B72501" w:rsidRPr="00062DF6">
        <w:rPr>
          <w:rFonts w:asciiTheme="majorHAnsi" w:hAnsiTheme="majorHAnsi"/>
          <w:sz w:val="16"/>
          <w:szCs w:val="16"/>
        </w:rPr>
        <w:t>r</w:t>
      </w:r>
      <w:r w:rsidRPr="00062DF6">
        <w:rPr>
          <w:rFonts w:asciiTheme="majorHAnsi" w:hAnsiTheme="majorHAnsi"/>
          <w:sz w:val="16"/>
          <w:szCs w:val="16"/>
        </w:rPr>
        <w:t xml:space="preserve"> “</w:t>
      </w:r>
      <w:r w:rsidR="00B72501" w:rsidRPr="00062DF6">
        <w:rPr>
          <w:rFonts w:asciiTheme="majorHAnsi" w:hAnsiTheme="majorHAnsi"/>
          <w:sz w:val="16"/>
          <w:szCs w:val="16"/>
        </w:rPr>
        <w:t>American Co</w:t>
      </w:r>
      <w:r w:rsidR="003A0CFF" w:rsidRPr="00062DF6">
        <w:rPr>
          <w:rFonts w:asciiTheme="majorHAnsi" w:hAnsiTheme="majorHAnsi"/>
          <w:sz w:val="16"/>
          <w:szCs w:val="16"/>
        </w:rPr>
        <w:t>n</w:t>
      </w:r>
      <w:r w:rsidR="00B72501" w:rsidRPr="00062DF6">
        <w:rPr>
          <w:rFonts w:asciiTheme="majorHAnsi" w:hAnsiTheme="majorHAnsi"/>
          <w:sz w:val="16"/>
          <w:szCs w:val="16"/>
        </w:rPr>
        <w:t>vention</w:t>
      </w:r>
      <w:r w:rsidRPr="00062DF6">
        <w:rPr>
          <w:rFonts w:asciiTheme="majorHAnsi" w:hAnsiTheme="majorHAnsi"/>
          <w:sz w:val="16"/>
          <w:szCs w:val="16"/>
        </w:rPr>
        <w:t>”.</w:t>
      </w:r>
    </w:p>
  </w:footnote>
  <w:footnote w:id="5">
    <w:p w:rsidR="00141D86" w:rsidRPr="00062DF6" w:rsidRDefault="00141D86" w:rsidP="009C7FD6">
      <w:pPr>
        <w:pStyle w:val="FootnoteText"/>
        <w:spacing w:before="120"/>
        <w:ind w:firstLine="720"/>
        <w:jc w:val="both"/>
        <w:rPr>
          <w:rFonts w:asciiTheme="majorHAnsi" w:hAnsiTheme="majorHAnsi"/>
          <w:sz w:val="16"/>
          <w:szCs w:val="16"/>
        </w:rPr>
      </w:pPr>
      <w:r w:rsidRPr="00062DF6">
        <w:rPr>
          <w:rStyle w:val="FootnoteReference"/>
          <w:rFonts w:asciiTheme="majorHAnsi" w:hAnsiTheme="majorHAnsi"/>
          <w:sz w:val="16"/>
          <w:szCs w:val="16"/>
        </w:rPr>
        <w:footnoteRef/>
      </w:r>
      <w:r w:rsidRPr="00062DF6">
        <w:rPr>
          <w:rFonts w:asciiTheme="majorHAnsi" w:hAnsiTheme="majorHAnsi"/>
          <w:sz w:val="16"/>
          <w:szCs w:val="16"/>
        </w:rPr>
        <w:t xml:space="preserve"> </w:t>
      </w:r>
      <w:r w:rsidR="00B72501" w:rsidRPr="00062DF6">
        <w:rPr>
          <w:rFonts w:asciiTheme="majorHAnsi" w:hAnsiTheme="majorHAnsi"/>
          <w:sz w:val="16"/>
          <w:szCs w:val="16"/>
        </w:rPr>
        <w:t>The observations of each party were duly transmitted to the opposing party</w:t>
      </w:r>
      <w:r w:rsidRPr="00062DF6">
        <w:rPr>
          <w:rFonts w:asciiTheme="majorHAnsi" w:hAnsiTheme="majorHAnsi"/>
          <w:sz w:val="16"/>
          <w:szCs w:val="16"/>
        </w:rPr>
        <w:t>.</w:t>
      </w:r>
    </w:p>
  </w:footnote>
  <w:footnote w:id="6">
    <w:p w:rsidR="00141D86" w:rsidRPr="00062DF6" w:rsidRDefault="00141D86" w:rsidP="004525FB">
      <w:pPr>
        <w:pStyle w:val="FootnoteText"/>
        <w:spacing w:before="120"/>
        <w:ind w:firstLine="720"/>
        <w:jc w:val="both"/>
      </w:pPr>
      <w:r w:rsidRPr="00062DF6">
        <w:rPr>
          <w:rStyle w:val="FootnoteReference"/>
          <w:sz w:val="16"/>
          <w:szCs w:val="16"/>
        </w:rPr>
        <w:footnoteRef/>
      </w:r>
      <w:r w:rsidRPr="00062DF6">
        <w:rPr>
          <w:sz w:val="16"/>
          <w:szCs w:val="16"/>
        </w:rPr>
        <w:t xml:space="preserve"> </w:t>
      </w:r>
      <w:r w:rsidR="00D84B50" w:rsidRPr="00062DF6">
        <w:rPr>
          <w:rFonts w:asciiTheme="majorHAnsi" w:hAnsiTheme="majorHAnsi"/>
          <w:sz w:val="16"/>
          <w:szCs w:val="16"/>
        </w:rPr>
        <w:t xml:space="preserve">Given that the alleged victim features in the claims originally lodged in petition </w:t>
      </w:r>
      <w:r w:rsidRPr="00062DF6">
        <w:rPr>
          <w:rFonts w:asciiTheme="majorHAnsi" w:hAnsiTheme="majorHAnsi"/>
          <w:sz w:val="16"/>
          <w:szCs w:val="16"/>
        </w:rPr>
        <w:t xml:space="preserve">464-10, </w:t>
      </w:r>
      <w:r w:rsidR="00D84B50" w:rsidRPr="00062DF6">
        <w:rPr>
          <w:rFonts w:asciiTheme="majorHAnsi" w:hAnsiTheme="majorHAnsi"/>
          <w:sz w:val="16"/>
          <w:szCs w:val="16"/>
        </w:rPr>
        <w:t xml:space="preserve">on which the State of </w:t>
      </w:r>
      <w:r w:rsidRPr="00062DF6">
        <w:rPr>
          <w:rFonts w:asciiTheme="majorHAnsi" w:hAnsiTheme="majorHAnsi"/>
          <w:sz w:val="16"/>
          <w:szCs w:val="16"/>
        </w:rPr>
        <w:t xml:space="preserve">Colombia </w:t>
      </w:r>
      <w:r w:rsidR="00D84B50" w:rsidRPr="00062DF6">
        <w:rPr>
          <w:rFonts w:asciiTheme="majorHAnsi" w:hAnsiTheme="majorHAnsi"/>
          <w:sz w:val="16"/>
          <w:szCs w:val="16"/>
        </w:rPr>
        <w:t>duly pronounced judgment</w:t>
      </w:r>
      <w:r w:rsidRPr="00062DF6">
        <w:rPr>
          <w:rFonts w:asciiTheme="majorHAnsi" w:hAnsiTheme="majorHAnsi"/>
          <w:sz w:val="16"/>
          <w:szCs w:val="16"/>
        </w:rPr>
        <w:t xml:space="preserve">, </w:t>
      </w:r>
      <w:r w:rsidR="003A0CFF" w:rsidRPr="00062DF6">
        <w:rPr>
          <w:rFonts w:asciiTheme="majorHAnsi" w:hAnsiTheme="majorHAnsi"/>
          <w:sz w:val="16"/>
          <w:szCs w:val="16"/>
        </w:rPr>
        <w:t>these S</w:t>
      </w:r>
      <w:r w:rsidR="00D84B50" w:rsidRPr="00062DF6">
        <w:rPr>
          <w:rFonts w:asciiTheme="majorHAnsi" w:hAnsiTheme="majorHAnsi"/>
          <w:sz w:val="16"/>
          <w:szCs w:val="16"/>
        </w:rPr>
        <w:t xml:space="preserve">tate </w:t>
      </w:r>
      <w:r w:rsidR="00EC1C2D" w:rsidRPr="00062DF6">
        <w:rPr>
          <w:rFonts w:asciiTheme="majorHAnsi" w:hAnsiTheme="majorHAnsi"/>
          <w:sz w:val="16"/>
          <w:szCs w:val="16"/>
        </w:rPr>
        <w:t xml:space="preserve">responses were taken into account by the IACHR </w:t>
      </w:r>
      <w:r w:rsidR="003A0CFF" w:rsidRPr="00062DF6">
        <w:rPr>
          <w:rFonts w:asciiTheme="majorHAnsi" w:hAnsiTheme="majorHAnsi"/>
          <w:sz w:val="16"/>
          <w:szCs w:val="16"/>
        </w:rPr>
        <w:t xml:space="preserve">in drawing up </w:t>
      </w:r>
      <w:r w:rsidR="00EC1C2D" w:rsidRPr="00062DF6">
        <w:rPr>
          <w:rFonts w:asciiTheme="majorHAnsi" w:hAnsiTheme="majorHAnsi"/>
          <w:sz w:val="16"/>
          <w:szCs w:val="16"/>
        </w:rPr>
        <w:t>this report</w:t>
      </w:r>
      <w:r w:rsidRPr="00062DF6">
        <w:rPr>
          <w:rFonts w:asciiTheme="majorHAnsi" w:hAnsiTheme="majorHAnsi"/>
          <w:sz w:val="16"/>
          <w:szCs w:val="16"/>
        </w:rPr>
        <w:t>.</w:t>
      </w:r>
    </w:p>
  </w:footnote>
  <w:footnote w:id="7">
    <w:p w:rsidR="00141D86" w:rsidRPr="00062DF6" w:rsidRDefault="00141D86" w:rsidP="009C7FD6">
      <w:pPr>
        <w:pStyle w:val="FootnoteText"/>
        <w:spacing w:before="120"/>
        <w:ind w:firstLine="720"/>
        <w:rPr>
          <w:rFonts w:asciiTheme="majorHAnsi" w:hAnsiTheme="majorHAnsi"/>
          <w:sz w:val="16"/>
          <w:szCs w:val="16"/>
        </w:rPr>
      </w:pPr>
      <w:r w:rsidRPr="00062DF6">
        <w:rPr>
          <w:rStyle w:val="FootnoteReference"/>
          <w:rFonts w:asciiTheme="majorHAnsi" w:hAnsiTheme="majorHAnsi"/>
          <w:sz w:val="16"/>
          <w:szCs w:val="16"/>
        </w:rPr>
        <w:footnoteRef/>
      </w:r>
      <w:r w:rsidRPr="00062DF6">
        <w:rPr>
          <w:rFonts w:asciiTheme="majorHAnsi" w:hAnsiTheme="majorHAnsi"/>
          <w:sz w:val="16"/>
          <w:szCs w:val="16"/>
        </w:rPr>
        <w:t xml:space="preserve"> CIDH, </w:t>
      </w:r>
      <w:r w:rsidR="00062DF6" w:rsidRPr="00062DF6">
        <w:rPr>
          <w:rFonts w:asciiTheme="majorHAnsi" w:hAnsiTheme="majorHAnsi"/>
          <w:sz w:val="16"/>
          <w:szCs w:val="16"/>
        </w:rPr>
        <w:t xml:space="preserve">Report </w:t>
      </w:r>
      <w:r w:rsidRPr="00062DF6">
        <w:rPr>
          <w:rFonts w:asciiTheme="majorHAnsi" w:hAnsiTheme="majorHAnsi"/>
          <w:sz w:val="16"/>
          <w:szCs w:val="16"/>
        </w:rPr>
        <w:t xml:space="preserve">No. 34/15, </w:t>
      </w:r>
      <w:r w:rsidR="00062DF6" w:rsidRPr="00062DF6">
        <w:rPr>
          <w:rFonts w:asciiTheme="majorHAnsi" w:hAnsiTheme="majorHAnsi"/>
          <w:sz w:val="16"/>
          <w:szCs w:val="16"/>
        </w:rPr>
        <w:t xml:space="preserve">Petition </w:t>
      </w:r>
      <w:r w:rsidRPr="00062DF6">
        <w:rPr>
          <w:rFonts w:asciiTheme="majorHAnsi" w:hAnsiTheme="majorHAnsi"/>
          <w:sz w:val="16"/>
          <w:szCs w:val="16"/>
        </w:rPr>
        <w:t xml:space="preserve">191-07 </w:t>
      </w:r>
      <w:r w:rsidR="00062DF6" w:rsidRPr="00062DF6">
        <w:rPr>
          <w:rFonts w:asciiTheme="majorHAnsi" w:hAnsiTheme="majorHAnsi"/>
          <w:sz w:val="16"/>
          <w:szCs w:val="16"/>
        </w:rPr>
        <w:t>and others</w:t>
      </w:r>
      <w:r w:rsidRPr="00062DF6">
        <w:rPr>
          <w:rFonts w:asciiTheme="majorHAnsi" w:hAnsiTheme="majorHAnsi"/>
          <w:sz w:val="16"/>
          <w:szCs w:val="16"/>
        </w:rPr>
        <w:t xml:space="preserve">. </w:t>
      </w:r>
      <w:r w:rsidR="00062DF6" w:rsidRPr="00062DF6">
        <w:rPr>
          <w:rFonts w:asciiTheme="majorHAnsi" w:hAnsiTheme="majorHAnsi"/>
          <w:sz w:val="16"/>
          <w:szCs w:val="16"/>
        </w:rPr>
        <w:t>Admissibility</w:t>
      </w:r>
      <w:r w:rsidRPr="00062DF6">
        <w:rPr>
          <w:rFonts w:asciiTheme="majorHAnsi" w:hAnsiTheme="majorHAnsi"/>
          <w:sz w:val="16"/>
          <w:szCs w:val="16"/>
        </w:rPr>
        <w:t xml:space="preserve">. Álvaro Enrique Rodríguez </w:t>
      </w:r>
      <w:r w:rsidR="00062DF6">
        <w:rPr>
          <w:rFonts w:asciiTheme="majorHAnsi" w:hAnsiTheme="majorHAnsi"/>
          <w:sz w:val="16"/>
          <w:szCs w:val="16"/>
        </w:rPr>
        <w:t>and others</w:t>
      </w:r>
      <w:r w:rsidRPr="00062DF6">
        <w:rPr>
          <w:rFonts w:asciiTheme="majorHAnsi" w:hAnsiTheme="majorHAnsi"/>
          <w:sz w:val="16"/>
          <w:szCs w:val="16"/>
        </w:rPr>
        <w:t xml:space="preserve">. Colombia. </w:t>
      </w:r>
      <w:r w:rsidR="00062DF6">
        <w:rPr>
          <w:rFonts w:asciiTheme="majorHAnsi" w:hAnsiTheme="majorHAnsi"/>
          <w:sz w:val="16"/>
          <w:szCs w:val="16"/>
        </w:rPr>
        <w:t>July 22</w:t>
      </w:r>
      <w:r w:rsidR="00062DF6" w:rsidRPr="00062DF6">
        <w:rPr>
          <w:rFonts w:asciiTheme="majorHAnsi" w:hAnsiTheme="majorHAnsi"/>
          <w:sz w:val="16"/>
          <w:szCs w:val="16"/>
          <w:vertAlign w:val="superscript"/>
        </w:rPr>
        <w:t>nd</w:t>
      </w:r>
      <w:r w:rsidR="00062DF6">
        <w:rPr>
          <w:rFonts w:asciiTheme="majorHAnsi" w:hAnsiTheme="majorHAnsi"/>
          <w:sz w:val="16"/>
          <w:szCs w:val="16"/>
        </w:rPr>
        <w:t xml:space="preserve"> 2015, par</w:t>
      </w:r>
      <w:r w:rsidRPr="00062DF6">
        <w:rPr>
          <w:rFonts w:asciiTheme="majorHAnsi" w:hAnsiTheme="majorHAnsi"/>
          <w:sz w:val="16"/>
          <w:szCs w:val="16"/>
        </w:rPr>
        <w:t>. 247.</w:t>
      </w:r>
    </w:p>
  </w:footnote>
  <w:footnote w:id="8">
    <w:p w:rsidR="00141D86" w:rsidRPr="00062DF6" w:rsidRDefault="00141D86" w:rsidP="009C7FD6">
      <w:pPr>
        <w:pStyle w:val="FootnoteText"/>
        <w:spacing w:before="120"/>
        <w:ind w:firstLine="720"/>
        <w:rPr>
          <w:rFonts w:asciiTheme="majorHAnsi" w:hAnsiTheme="majorHAnsi"/>
          <w:sz w:val="16"/>
          <w:szCs w:val="16"/>
        </w:rPr>
      </w:pPr>
      <w:r w:rsidRPr="00062DF6">
        <w:rPr>
          <w:rStyle w:val="FootnoteReference"/>
          <w:rFonts w:asciiTheme="majorHAnsi" w:hAnsiTheme="majorHAnsi"/>
          <w:sz w:val="16"/>
          <w:szCs w:val="16"/>
        </w:rPr>
        <w:footnoteRef/>
      </w:r>
      <w:r w:rsidRPr="00062DF6">
        <w:rPr>
          <w:rFonts w:asciiTheme="majorHAnsi" w:hAnsiTheme="majorHAnsi"/>
          <w:sz w:val="16"/>
          <w:szCs w:val="16"/>
        </w:rPr>
        <w:t xml:space="preserve"> CIDH, </w:t>
      </w:r>
      <w:r w:rsidR="00062DF6">
        <w:rPr>
          <w:rFonts w:asciiTheme="majorHAnsi" w:hAnsiTheme="majorHAnsi"/>
          <w:sz w:val="16"/>
          <w:szCs w:val="16"/>
        </w:rPr>
        <w:t xml:space="preserve">report </w:t>
      </w:r>
      <w:r w:rsidRPr="00062DF6">
        <w:rPr>
          <w:rFonts w:asciiTheme="majorHAnsi" w:hAnsiTheme="majorHAnsi"/>
          <w:sz w:val="16"/>
          <w:szCs w:val="16"/>
        </w:rPr>
        <w:t xml:space="preserve">No. 17/16, </w:t>
      </w:r>
      <w:r w:rsidR="00062DF6">
        <w:rPr>
          <w:rFonts w:asciiTheme="majorHAnsi" w:hAnsiTheme="majorHAnsi"/>
          <w:sz w:val="16"/>
          <w:szCs w:val="16"/>
        </w:rPr>
        <w:t xml:space="preserve">Petition </w:t>
      </w:r>
      <w:r w:rsidRPr="00062DF6">
        <w:rPr>
          <w:rFonts w:asciiTheme="majorHAnsi" w:hAnsiTheme="majorHAnsi"/>
          <w:sz w:val="16"/>
          <w:szCs w:val="16"/>
        </w:rPr>
        <w:t xml:space="preserve">1132-06. </w:t>
      </w:r>
      <w:r w:rsidR="00062DF6">
        <w:rPr>
          <w:rFonts w:asciiTheme="majorHAnsi" w:hAnsiTheme="majorHAnsi"/>
          <w:sz w:val="16"/>
          <w:szCs w:val="16"/>
        </w:rPr>
        <w:t>Admissibility</w:t>
      </w:r>
      <w:r w:rsidRPr="00062DF6">
        <w:rPr>
          <w:rFonts w:asciiTheme="majorHAnsi" w:hAnsiTheme="majorHAnsi"/>
          <w:sz w:val="16"/>
          <w:szCs w:val="16"/>
        </w:rPr>
        <w:t xml:space="preserve">. Hortencia Neyid Tunja Cuchumbe </w:t>
      </w:r>
      <w:r w:rsidR="00062DF6">
        <w:rPr>
          <w:rFonts w:asciiTheme="majorHAnsi" w:hAnsiTheme="majorHAnsi"/>
          <w:sz w:val="16"/>
          <w:szCs w:val="16"/>
        </w:rPr>
        <w:t>and others</w:t>
      </w:r>
      <w:r w:rsidRPr="00062DF6">
        <w:rPr>
          <w:rFonts w:asciiTheme="majorHAnsi" w:hAnsiTheme="majorHAnsi"/>
          <w:sz w:val="16"/>
          <w:szCs w:val="16"/>
        </w:rPr>
        <w:t xml:space="preserve">. Colombia. </w:t>
      </w:r>
      <w:r w:rsidR="00062DF6">
        <w:rPr>
          <w:rFonts w:asciiTheme="majorHAnsi" w:hAnsiTheme="majorHAnsi"/>
          <w:sz w:val="16"/>
          <w:szCs w:val="16"/>
        </w:rPr>
        <w:t>April 15</w:t>
      </w:r>
      <w:r w:rsidR="00062DF6" w:rsidRPr="00062DF6">
        <w:rPr>
          <w:rFonts w:asciiTheme="majorHAnsi" w:hAnsiTheme="majorHAnsi"/>
          <w:sz w:val="16"/>
          <w:szCs w:val="16"/>
          <w:vertAlign w:val="superscript"/>
        </w:rPr>
        <w:t>th</w:t>
      </w:r>
      <w:r w:rsidR="00062DF6">
        <w:rPr>
          <w:rFonts w:asciiTheme="majorHAnsi" w:hAnsiTheme="majorHAnsi"/>
          <w:sz w:val="16"/>
          <w:szCs w:val="16"/>
        </w:rPr>
        <w:t xml:space="preserve"> 2016, par</w:t>
      </w:r>
      <w:r w:rsidRPr="00062DF6">
        <w:rPr>
          <w:rFonts w:asciiTheme="majorHAnsi" w:hAnsiTheme="majorHAnsi"/>
          <w:sz w:val="16"/>
          <w:szCs w:val="16"/>
        </w:rPr>
        <w:t>.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D86" w:rsidRDefault="00141D86" w:rsidP="00141D8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41D86" w:rsidRDefault="00141D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D86" w:rsidRDefault="00141D86"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141D86" w:rsidRPr="00EC7D62" w:rsidRDefault="002C01C4"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C2" w:rsidRDefault="009B0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4D76403E"/>
    <w:lvl w:ilvl="0" w:tplc="562C39BC">
      <w:start w:val="1"/>
      <w:numFmt w:val="decimal"/>
      <w:lvlText w:val="%1."/>
      <w:lvlJc w:val="left"/>
      <w:pPr>
        <w:tabs>
          <w:tab w:val="num" w:pos="720"/>
        </w:tabs>
        <w:ind w:left="0" w:firstLine="720"/>
      </w:pPr>
      <w:rPr>
        <w:rFonts w:hint="default"/>
        <w:color w:val="auto"/>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1"/>
  </w:num>
  <w:num w:numId="9">
    <w:abstractNumId w:val="48"/>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4"/>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0"/>
  </w:num>
  <w:num w:numId="95">
    <w:abstractNumId w:val="41"/>
  </w:num>
  <w:num w:numId="96">
    <w:abstractNumId w:val="52"/>
  </w:num>
  <w:num w:numId="97">
    <w:abstractNumId w:val="50"/>
  </w:num>
  <w:num w:numId="98">
    <w:abstractNumId w:val="45"/>
  </w:num>
  <w:num w:numId="99">
    <w:abstractNumId w:val="36"/>
  </w:num>
  <w:num w:numId="100">
    <w:abstractNumId w:val="3"/>
  </w:num>
  <w:num w:numId="101">
    <w:abstractNumId w:val="25"/>
  </w:num>
  <w:num w:numId="102">
    <w:abstractNumId w:val="47"/>
  </w:num>
  <w:num w:numId="103">
    <w:abstractNumId w:val="5"/>
  </w:num>
  <w:num w:numId="104">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36A8A"/>
    <w:rsid w:val="00040C3A"/>
    <w:rsid w:val="00062DF6"/>
    <w:rsid w:val="000639C0"/>
    <w:rsid w:val="00070F3A"/>
    <w:rsid w:val="000716C5"/>
    <w:rsid w:val="000734CF"/>
    <w:rsid w:val="00075705"/>
    <w:rsid w:val="00075E23"/>
    <w:rsid w:val="00085D81"/>
    <w:rsid w:val="00092F32"/>
    <w:rsid w:val="0009344A"/>
    <w:rsid w:val="00095CFC"/>
    <w:rsid w:val="000A575F"/>
    <w:rsid w:val="000D10DB"/>
    <w:rsid w:val="0013104F"/>
    <w:rsid w:val="00137EBA"/>
    <w:rsid w:val="00141D86"/>
    <w:rsid w:val="0014213A"/>
    <w:rsid w:val="00145EDC"/>
    <w:rsid w:val="00167A34"/>
    <w:rsid w:val="0018037F"/>
    <w:rsid w:val="00183D64"/>
    <w:rsid w:val="00191AC5"/>
    <w:rsid w:val="001A5F27"/>
    <w:rsid w:val="001A7870"/>
    <w:rsid w:val="001B0945"/>
    <w:rsid w:val="001C1B41"/>
    <w:rsid w:val="001F686C"/>
    <w:rsid w:val="00210E0E"/>
    <w:rsid w:val="002174C7"/>
    <w:rsid w:val="00230EFC"/>
    <w:rsid w:val="00231860"/>
    <w:rsid w:val="00247403"/>
    <w:rsid w:val="00247542"/>
    <w:rsid w:val="00257893"/>
    <w:rsid w:val="00266092"/>
    <w:rsid w:val="00266B61"/>
    <w:rsid w:val="0026712A"/>
    <w:rsid w:val="002704DB"/>
    <w:rsid w:val="002762A7"/>
    <w:rsid w:val="002A4D9A"/>
    <w:rsid w:val="002B3449"/>
    <w:rsid w:val="002C01C4"/>
    <w:rsid w:val="002C1058"/>
    <w:rsid w:val="002C1641"/>
    <w:rsid w:val="002C5E96"/>
    <w:rsid w:val="002D16E0"/>
    <w:rsid w:val="002D535B"/>
    <w:rsid w:val="002D7EA2"/>
    <w:rsid w:val="002E15DF"/>
    <w:rsid w:val="002E187C"/>
    <w:rsid w:val="002E6E57"/>
    <w:rsid w:val="00301075"/>
    <w:rsid w:val="00302733"/>
    <w:rsid w:val="00303817"/>
    <w:rsid w:val="00311A4F"/>
    <w:rsid w:val="00314078"/>
    <w:rsid w:val="00314EBE"/>
    <w:rsid w:val="00322450"/>
    <w:rsid w:val="003246B5"/>
    <w:rsid w:val="0033169F"/>
    <w:rsid w:val="00333B09"/>
    <w:rsid w:val="003414AC"/>
    <w:rsid w:val="00356185"/>
    <w:rsid w:val="00360380"/>
    <w:rsid w:val="00365781"/>
    <w:rsid w:val="00377932"/>
    <w:rsid w:val="00386CF0"/>
    <w:rsid w:val="003A0CFF"/>
    <w:rsid w:val="003A6F51"/>
    <w:rsid w:val="003A7BD3"/>
    <w:rsid w:val="003C32BC"/>
    <w:rsid w:val="003F1BBF"/>
    <w:rsid w:val="003F5F33"/>
    <w:rsid w:val="004049E9"/>
    <w:rsid w:val="0041554F"/>
    <w:rsid w:val="004165C2"/>
    <w:rsid w:val="004415FC"/>
    <w:rsid w:val="00450A4A"/>
    <w:rsid w:val="004525FB"/>
    <w:rsid w:val="004666FB"/>
    <w:rsid w:val="00467B7E"/>
    <w:rsid w:val="0047557F"/>
    <w:rsid w:val="00484F22"/>
    <w:rsid w:val="004936EC"/>
    <w:rsid w:val="0049419D"/>
    <w:rsid w:val="004A49AE"/>
    <w:rsid w:val="004B2762"/>
    <w:rsid w:val="004B7EB6"/>
    <w:rsid w:val="004C420C"/>
    <w:rsid w:val="004C4B62"/>
    <w:rsid w:val="004D14A7"/>
    <w:rsid w:val="004D6025"/>
    <w:rsid w:val="004D72BC"/>
    <w:rsid w:val="004E2077"/>
    <w:rsid w:val="004E2DA7"/>
    <w:rsid w:val="00501399"/>
    <w:rsid w:val="00507BC4"/>
    <w:rsid w:val="00512471"/>
    <w:rsid w:val="005128E4"/>
    <w:rsid w:val="00525560"/>
    <w:rsid w:val="005357A6"/>
    <w:rsid w:val="00544C49"/>
    <w:rsid w:val="0057402A"/>
    <w:rsid w:val="005771D0"/>
    <w:rsid w:val="0059191A"/>
    <w:rsid w:val="005921FF"/>
    <w:rsid w:val="00593AB3"/>
    <w:rsid w:val="005A3DFF"/>
    <w:rsid w:val="005A6D0E"/>
    <w:rsid w:val="005B222D"/>
    <w:rsid w:val="005B52B0"/>
    <w:rsid w:val="005B6806"/>
    <w:rsid w:val="005C00F9"/>
    <w:rsid w:val="005C4225"/>
    <w:rsid w:val="005C6D24"/>
    <w:rsid w:val="005F0F33"/>
    <w:rsid w:val="00600DEB"/>
    <w:rsid w:val="00613027"/>
    <w:rsid w:val="00627C9F"/>
    <w:rsid w:val="006311DA"/>
    <w:rsid w:val="006311E9"/>
    <w:rsid w:val="00632354"/>
    <w:rsid w:val="00642810"/>
    <w:rsid w:val="00650435"/>
    <w:rsid w:val="00652333"/>
    <w:rsid w:val="0068009E"/>
    <w:rsid w:val="00681A30"/>
    <w:rsid w:val="0069360C"/>
    <w:rsid w:val="006A17D2"/>
    <w:rsid w:val="006A73E6"/>
    <w:rsid w:val="006B2D5C"/>
    <w:rsid w:val="006C4EB1"/>
    <w:rsid w:val="006D79AA"/>
    <w:rsid w:val="006E0166"/>
    <w:rsid w:val="006E7B34"/>
    <w:rsid w:val="006F267A"/>
    <w:rsid w:val="006F7A15"/>
    <w:rsid w:val="00700F43"/>
    <w:rsid w:val="00701B24"/>
    <w:rsid w:val="0070302A"/>
    <w:rsid w:val="00713654"/>
    <w:rsid w:val="00713F20"/>
    <w:rsid w:val="00745899"/>
    <w:rsid w:val="007578D2"/>
    <w:rsid w:val="00757EB0"/>
    <w:rsid w:val="007607C4"/>
    <w:rsid w:val="0076643F"/>
    <w:rsid w:val="007751B5"/>
    <w:rsid w:val="007833F3"/>
    <w:rsid w:val="007A2F70"/>
    <w:rsid w:val="007C3334"/>
    <w:rsid w:val="007C52BB"/>
    <w:rsid w:val="007D2B98"/>
    <w:rsid w:val="00803F1C"/>
    <w:rsid w:val="0080600E"/>
    <w:rsid w:val="00817612"/>
    <w:rsid w:val="00825667"/>
    <w:rsid w:val="00837C45"/>
    <w:rsid w:val="00853419"/>
    <w:rsid w:val="00896643"/>
    <w:rsid w:val="00897E12"/>
    <w:rsid w:val="008D43BA"/>
    <w:rsid w:val="008E3759"/>
    <w:rsid w:val="009041DC"/>
    <w:rsid w:val="009104B4"/>
    <w:rsid w:val="009153D8"/>
    <w:rsid w:val="00922C5C"/>
    <w:rsid w:val="009245EF"/>
    <w:rsid w:val="00925FCD"/>
    <w:rsid w:val="00926ECD"/>
    <w:rsid w:val="0093441A"/>
    <w:rsid w:val="009366FA"/>
    <w:rsid w:val="009444C9"/>
    <w:rsid w:val="00954BF7"/>
    <w:rsid w:val="0096056A"/>
    <w:rsid w:val="00966C7F"/>
    <w:rsid w:val="0096706E"/>
    <w:rsid w:val="00981FBA"/>
    <w:rsid w:val="009825B2"/>
    <w:rsid w:val="009A27AD"/>
    <w:rsid w:val="009B00C2"/>
    <w:rsid w:val="009B381B"/>
    <w:rsid w:val="009C7FD6"/>
    <w:rsid w:val="009D43C9"/>
    <w:rsid w:val="009D7397"/>
    <w:rsid w:val="009D7611"/>
    <w:rsid w:val="009E53DE"/>
    <w:rsid w:val="00A43458"/>
    <w:rsid w:val="00A528D1"/>
    <w:rsid w:val="00A66BE5"/>
    <w:rsid w:val="00AD1111"/>
    <w:rsid w:val="00AD37C1"/>
    <w:rsid w:val="00AE5B6A"/>
    <w:rsid w:val="00AE66EC"/>
    <w:rsid w:val="00AE6F91"/>
    <w:rsid w:val="00AF5571"/>
    <w:rsid w:val="00B167E9"/>
    <w:rsid w:val="00B314DB"/>
    <w:rsid w:val="00B31EBE"/>
    <w:rsid w:val="00B33A9E"/>
    <w:rsid w:val="00B3718B"/>
    <w:rsid w:val="00B46041"/>
    <w:rsid w:val="00B4632A"/>
    <w:rsid w:val="00B72501"/>
    <w:rsid w:val="00B906D4"/>
    <w:rsid w:val="00BA276C"/>
    <w:rsid w:val="00BB306F"/>
    <w:rsid w:val="00BD232B"/>
    <w:rsid w:val="00BD4B89"/>
    <w:rsid w:val="00C21762"/>
    <w:rsid w:val="00C24543"/>
    <w:rsid w:val="00C256A2"/>
    <w:rsid w:val="00C3492D"/>
    <w:rsid w:val="00C36933"/>
    <w:rsid w:val="00C55560"/>
    <w:rsid w:val="00C633DB"/>
    <w:rsid w:val="00C66B72"/>
    <w:rsid w:val="00C80BDD"/>
    <w:rsid w:val="00C90BCD"/>
    <w:rsid w:val="00C9567A"/>
    <w:rsid w:val="00C979CA"/>
    <w:rsid w:val="00CB2660"/>
    <w:rsid w:val="00CB39FC"/>
    <w:rsid w:val="00CC5E90"/>
    <w:rsid w:val="00CC7B5F"/>
    <w:rsid w:val="00CD046C"/>
    <w:rsid w:val="00CE4BFB"/>
    <w:rsid w:val="00CE5199"/>
    <w:rsid w:val="00CE66D5"/>
    <w:rsid w:val="00CF54A4"/>
    <w:rsid w:val="00D2413E"/>
    <w:rsid w:val="00D34786"/>
    <w:rsid w:val="00D40A1E"/>
    <w:rsid w:val="00D42817"/>
    <w:rsid w:val="00D712D3"/>
    <w:rsid w:val="00D71422"/>
    <w:rsid w:val="00D7145E"/>
    <w:rsid w:val="00D7558D"/>
    <w:rsid w:val="00D81D92"/>
    <w:rsid w:val="00D84B50"/>
    <w:rsid w:val="00D93446"/>
    <w:rsid w:val="00D978A6"/>
    <w:rsid w:val="00DA79B5"/>
    <w:rsid w:val="00DA7B5F"/>
    <w:rsid w:val="00DE4E65"/>
    <w:rsid w:val="00DF684D"/>
    <w:rsid w:val="00E13A21"/>
    <w:rsid w:val="00E43157"/>
    <w:rsid w:val="00E533FF"/>
    <w:rsid w:val="00E709B3"/>
    <w:rsid w:val="00E832F9"/>
    <w:rsid w:val="00E8789F"/>
    <w:rsid w:val="00E97B71"/>
    <w:rsid w:val="00EB3003"/>
    <w:rsid w:val="00EB454D"/>
    <w:rsid w:val="00EC1C2D"/>
    <w:rsid w:val="00EC5947"/>
    <w:rsid w:val="00EE3522"/>
    <w:rsid w:val="00EF619B"/>
    <w:rsid w:val="00F00B55"/>
    <w:rsid w:val="00F1380F"/>
    <w:rsid w:val="00F14F0E"/>
    <w:rsid w:val="00F24C29"/>
    <w:rsid w:val="00F253CC"/>
    <w:rsid w:val="00F56BA5"/>
    <w:rsid w:val="00F644E6"/>
    <w:rsid w:val="00F7167E"/>
    <w:rsid w:val="00F72BFA"/>
    <w:rsid w:val="00F80422"/>
    <w:rsid w:val="00F81404"/>
    <w:rsid w:val="00F90797"/>
    <w:rsid w:val="00F9653B"/>
    <w:rsid w:val="00FB62CF"/>
    <w:rsid w:val="00FB73C6"/>
    <w:rsid w:val="00FB76F9"/>
    <w:rsid w:val="00FC3EB4"/>
    <w:rsid w:val="00FC6C58"/>
    <w:rsid w:val="00FE6B45"/>
    <w:rsid w:val="00FF2D1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9C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C7FD6"/>
    <w:rPr>
      <w:rFonts w:ascii="Calibri" w:hAnsi="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9C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C7FD6"/>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DF700-4453-4812-B61D-68AEAEC6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2032</Words>
  <Characters>10935</Characters>
  <Application>Microsoft Office Word</Application>
  <DocSecurity>0</DocSecurity>
  <Lines>260</Lines>
  <Paragraphs>147</Paragraphs>
  <ScaleCrop>false</ScaleCrop>
  <Company/>
  <LinksUpToDate>false</LinksUpToDate>
  <CharactersWithSpaces>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50/17</dc:title>
  <dc:creator/>
  <cp:lastModifiedBy/>
  <cp:revision>1</cp:revision>
  <dcterms:created xsi:type="dcterms:W3CDTF">2017-11-02T18:59:00Z</dcterms:created>
  <dcterms:modified xsi:type="dcterms:W3CDTF">2017-11-02T18:59:00Z</dcterms:modified>
</cp:coreProperties>
</file>